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345"/>
        </w:tabs>
        <w:jc w:val="center"/>
        <w:rPr>
          <w:rFonts w:ascii="仿宋" w:hAnsi="仿宋" w:eastAsia="仿宋"/>
          <w:b/>
          <w:sz w:val="30"/>
          <w:szCs w:val="30"/>
        </w:rPr>
      </w:pPr>
      <w:r>
        <w:rPr>
          <w:rFonts w:hint="eastAsia" w:ascii="仿宋" w:hAnsi="仿宋" w:eastAsia="仿宋"/>
          <w:b/>
          <w:sz w:val="30"/>
          <w:szCs w:val="30"/>
        </w:rPr>
        <w:t>经济学院202</w:t>
      </w:r>
      <w:r>
        <w:rPr>
          <w:rFonts w:hint="eastAsia" w:ascii="仿宋" w:hAnsi="仿宋" w:eastAsia="仿宋"/>
          <w:b/>
          <w:sz w:val="30"/>
          <w:szCs w:val="30"/>
          <w:lang w:val="en-US" w:eastAsia="zh-CN"/>
        </w:rPr>
        <w:t>2</w:t>
      </w:r>
      <w:r>
        <w:rPr>
          <w:rFonts w:hint="eastAsia" w:ascii="仿宋" w:hAnsi="仿宋" w:eastAsia="仿宋"/>
          <w:b/>
          <w:sz w:val="30"/>
          <w:szCs w:val="30"/>
        </w:rPr>
        <w:t>-202</w:t>
      </w:r>
      <w:r>
        <w:rPr>
          <w:rFonts w:hint="eastAsia" w:ascii="仿宋" w:hAnsi="仿宋" w:eastAsia="仿宋"/>
          <w:b/>
          <w:sz w:val="30"/>
          <w:szCs w:val="30"/>
          <w:lang w:val="en-US" w:eastAsia="zh-CN"/>
        </w:rPr>
        <w:t>3</w:t>
      </w:r>
      <w:r>
        <w:rPr>
          <w:rFonts w:hint="eastAsia" w:ascii="仿宋" w:hAnsi="仿宋" w:eastAsia="仿宋"/>
          <w:b/>
          <w:sz w:val="30"/>
          <w:szCs w:val="30"/>
        </w:rPr>
        <w:t>学年研究生学业奖学金评定办法</w:t>
      </w:r>
    </w:p>
    <w:p>
      <w:pPr>
        <w:tabs>
          <w:tab w:val="left" w:pos="6345"/>
        </w:tabs>
        <w:jc w:val="center"/>
        <w:rPr>
          <w:rFonts w:ascii="仿宋" w:hAnsi="仿宋" w:eastAsia="仿宋"/>
          <w:b/>
          <w:sz w:val="24"/>
          <w:szCs w:val="24"/>
        </w:rPr>
      </w:pPr>
      <w:r>
        <w:rPr>
          <w:rFonts w:hint="eastAsia" w:ascii="仿宋" w:hAnsi="仿宋" w:eastAsia="仿宋"/>
          <w:b/>
          <w:sz w:val="24"/>
          <w:szCs w:val="24"/>
        </w:rPr>
        <w:t>第一章 总则</w:t>
      </w:r>
    </w:p>
    <w:p>
      <w:pPr>
        <w:tabs>
          <w:tab w:val="left" w:pos="6345"/>
        </w:tabs>
        <w:jc w:val="left"/>
        <w:rPr>
          <w:rFonts w:ascii="仿宋" w:hAnsi="仿宋" w:eastAsia="仿宋"/>
          <w:sz w:val="24"/>
          <w:szCs w:val="24"/>
        </w:rPr>
      </w:pPr>
      <w:r>
        <w:rPr>
          <w:rFonts w:hint="eastAsia" w:ascii="仿宋" w:hAnsi="仿宋" w:eastAsia="仿宋"/>
          <w:b/>
          <w:sz w:val="24"/>
          <w:szCs w:val="24"/>
        </w:rPr>
        <w:t xml:space="preserve">    第一条</w:t>
      </w:r>
      <w:r>
        <w:rPr>
          <w:rFonts w:hint="eastAsia" w:ascii="仿宋" w:hAnsi="仿宋" w:eastAsia="仿宋"/>
          <w:sz w:val="24"/>
          <w:szCs w:val="24"/>
        </w:rPr>
        <w:t xml:space="preserve"> 为激励研究生勤奋学习、潜心科研、勇于创新、积极进取，支持研究生顺利完成学业，根据财政部、教育部关于印发《研究生学业奖学金管理暂行办法》（财教〔</w:t>
      </w:r>
      <w:r>
        <w:rPr>
          <w:rFonts w:ascii="仿宋" w:hAnsi="仿宋" w:eastAsia="仿宋"/>
          <w:sz w:val="24"/>
          <w:szCs w:val="24"/>
        </w:rPr>
        <w:t>2013</w:t>
      </w:r>
      <w:r>
        <w:rPr>
          <w:rFonts w:hint="eastAsia" w:ascii="仿宋" w:hAnsi="仿宋" w:eastAsia="仿宋"/>
          <w:sz w:val="24"/>
          <w:szCs w:val="24"/>
        </w:rPr>
        <w:t>〕</w:t>
      </w:r>
      <w:r>
        <w:rPr>
          <w:rFonts w:ascii="仿宋" w:hAnsi="仿宋" w:eastAsia="仿宋"/>
          <w:sz w:val="24"/>
          <w:szCs w:val="24"/>
        </w:rPr>
        <w:t xml:space="preserve">219 </w:t>
      </w:r>
      <w:r>
        <w:rPr>
          <w:rFonts w:hint="eastAsia" w:ascii="仿宋" w:hAnsi="仿宋" w:eastAsia="仿宋"/>
          <w:sz w:val="24"/>
          <w:szCs w:val="24"/>
        </w:rPr>
        <w:t>号）和浙江省财政厅、教育厅《关于做好研究生奖助工作的通知》（浙财教〔</w:t>
      </w:r>
      <w:r>
        <w:rPr>
          <w:rFonts w:ascii="仿宋" w:hAnsi="仿宋" w:eastAsia="仿宋"/>
          <w:sz w:val="24"/>
          <w:szCs w:val="24"/>
        </w:rPr>
        <w:t>2014</w:t>
      </w:r>
      <w:r>
        <w:rPr>
          <w:rFonts w:hint="eastAsia" w:ascii="仿宋" w:hAnsi="仿宋" w:eastAsia="仿宋"/>
          <w:sz w:val="24"/>
          <w:szCs w:val="24"/>
        </w:rPr>
        <w:t>〕</w:t>
      </w:r>
      <w:r>
        <w:rPr>
          <w:rFonts w:ascii="仿宋" w:hAnsi="仿宋" w:eastAsia="仿宋"/>
          <w:sz w:val="24"/>
          <w:szCs w:val="24"/>
        </w:rPr>
        <w:t xml:space="preserve">3 </w:t>
      </w:r>
      <w:r>
        <w:rPr>
          <w:rFonts w:hint="eastAsia" w:ascii="仿宋" w:hAnsi="仿宋" w:eastAsia="仿宋"/>
          <w:sz w:val="24"/>
          <w:szCs w:val="24"/>
        </w:rPr>
        <w:t>号）的精神，按照《浙商大研〔2018〕189号 关于印发研究生综合测评实施办法的通知》、《浙江工商大学研究生综合测评实施办法》和《</w:t>
      </w:r>
      <w:r>
        <w:rPr>
          <w:rFonts w:ascii="仿宋" w:hAnsi="仿宋" w:eastAsia="仿宋"/>
          <w:sz w:val="24"/>
          <w:szCs w:val="24"/>
        </w:rPr>
        <w:t>浙江工商大学经济学院研究生综合测评办法</w:t>
      </w:r>
      <w:r>
        <w:rPr>
          <w:rFonts w:hint="eastAsia" w:ascii="仿宋" w:hAnsi="仿宋" w:eastAsia="仿宋"/>
          <w:sz w:val="24"/>
          <w:szCs w:val="24"/>
        </w:rPr>
        <w:t>》，结合学院实际，制定本办法。</w:t>
      </w:r>
    </w:p>
    <w:p>
      <w:pPr>
        <w:tabs>
          <w:tab w:val="left" w:pos="6345"/>
        </w:tabs>
        <w:jc w:val="left"/>
        <w:rPr>
          <w:rFonts w:ascii="仿宋" w:hAnsi="仿宋" w:eastAsia="仿宋"/>
          <w:sz w:val="24"/>
          <w:szCs w:val="24"/>
        </w:rPr>
      </w:pPr>
      <w:r>
        <w:rPr>
          <w:rFonts w:hint="eastAsia" w:ascii="仿宋" w:hAnsi="仿宋" w:eastAsia="仿宋"/>
          <w:b/>
          <w:sz w:val="24"/>
          <w:szCs w:val="24"/>
        </w:rPr>
        <w:t xml:space="preserve">    第二条</w:t>
      </w:r>
      <w:r>
        <w:rPr>
          <w:rFonts w:hint="eastAsia" w:ascii="仿宋" w:hAnsi="仿宋" w:eastAsia="仿宋"/>
          <w:sz w:val="24"/>
          <w:szCs w:val="24"/>
        </w:rPr>
        <w:t xml:space="preserve"> 本办法所称研究生是指我校纳入全国研究生招生计划、全日制（全脱产）培养、非定向就业的在校研究生。获得奖励的研究生须具有中华人民共和国国籍。</w:t>
      </w:r>
    </w:p>
    <w:p>
      <w:pPr>
        <w:tabs>
          <w:tab w:val="left" w:pos="6345"/>
        </w:tabs>
        <w:jc w:val="left"/>
        <w:rPr>
          <w:rFonts w:ascii="仿宋" w:hAnsi="仿宋" w:eastAsia="仿宋"/>
          <w:sz w:val="24"/>
          <w:szCs w:val="24"/>
        </w:rPr>
      </w:pPr>
      <w:r>
        <w:rPr>
          <w:rFonts w:hint="eastAsia" w:ascii="仿宋" w:hAnsi="仿宋" w:eastAsia="仿宋"/>
          <w:b/>
          <w:sz w:val="24"/>
          <w:szCs w:val="24"/>
        </w:rPr>
        <w:t xml:space="preserve">    第三条</w:t>
      </w:r>
      <w:r>
        <w:rPr>
          <w:rFonts w:hint="eastAsia" w:ascii="仿宋" w:hAnsi="仿宋" w:eastAsia="仿宋"/>
          <w:sz w:val="24"/>
          <w:szCs w:val="24"/>
        </w:rPr>
        <w:t xml:space="preserve"> 研究生获得学业奖学金的总年限，不超过其基本学制规定的学习年限。我校博士生基本学制年限为</w:t>
      </w:r>
      <w:r>
        <w:rPr>
          <w:rFonts w:ascii="仿宋" w:hAnsi="仿宋" w:eastAsia="仿宋"/>
          <w:sz w:val="24"/>
          <w:szCs w:val="24"/>
        </w:rPr>
        <w:t xml:space="preserve">3 </w:t>
      </w:r>
      <w:r>
        <w:rPr>
          <w:rFonts w:hint="eastAsia" w:ascii="仿宋" w:hAnsi="仿宋" w:eastAsia="仿宋"/>
          <w:sz w:val="24"/>
          <w:szCs w:val="24"/>
        </w:rPr>
        <w:t>年，硕士生基本学制年限为</w:t>
      </w:r>
      <w:r>
        <w:rPr>
          <w:rFonts w:ascii="仿宋" w:hAnsi="仿宋" w:eastAsia="仿宋"/>
          <w:sz w:val="24"/>
          <w:szCs w:val="24"/>
        </w:rPr>
        <w:t xml:space="preserve">2.5 </w:t>
      </w:r>
      <w:r>
        <w:rPr>
          <w:rFonts w:hint="eastAsia" w:ascii="仿宋" w:hAnsi="仿宋" w:eastAsia="仿宋"/>
          <w:sz w:val="24"/>
          <w:szCs w:val="24"/>
        </w:rPr>
        <w:t>年或</w:t>
      </w:r>
      <w:r>
        <w:rPr>
          <w:rFonts w:ascii="仿宋" w:hAnsi="仿宋" w:eastAsia="仿宋"/>
          <w:sz w:val="24"/>
          <w:szCs w:val="24"/>
        </w:rPr>
        <w:t>2</w:t>
      </w:r>
      <w:r>
        <w:rPr>
          <w:rFonts w:hint="eastAsia" w:ascii="仿宋" w:hAnsi="仿宋" w:eastAsia="仿宋"/>
          <w:sz w:val="24"/>
          <w:szCs w:val="24"/>
        </w:rPr>
        <w:t>年。</w:t>
      </w:r>
    </w:p>
    <w:p>
      <w:pPr>
        <w:tabs>
          <w:tab w:val="left" w:pos="6345"/>
        </w:tabs>
        <w:jc w:val="left"/>
        <w:rPr>
          <w:rFonts w:ascii="仿宋" w:hAnsi="仿宋" w:eastAsia="仿宋"/>
          <w:sz w:val="24"/>
          <w:szCs w:val="24"/>
        </w:rPr>
      </w:pPr>
    </w:p>
    <w:p>
      <w:pPr>
        <w:tabs>
          <w:tab w:val="left" w:pos="6345"/>
        </w:tabs>
        <w:jc w:val="center"/>
        <w:rPr>
          <w:rFonts w:ascii="仿宋" w:hAnsi="仿宋" w:eastAsia="仿宋"/>
          <w:b/>
          <w:sz w:val="24"/>
          <w:szCs w:val="24"/>
        </w:rPr>
      </w:pPr>
      <w:r>
        <w:rPr>
          <w:rFonts w:hint="eastAsia" w:ascii="仿宋" w:hAnsi="仿宋" w:eastAsia="仿宋"/>
          <w:b/>
          <w:sz w:val="24"/>
          <w:szCs w:val="24"/>
        </w:rPr>
        <w:t>第二章 奖励类型、等级、标准和比例</w:t>
      </w:r>
    </w:p>
    <w:p>
      <w:pPr>
        <w:tabs>
          <w:tab w:val="left" w:pos="6345"/>
        </w:tabs>
        <w:jc w:val="left"/>
        <w:rPr>
          <w:rFonts w:ascii="仿宋" w:hAnsi="仿宋" w:eastAsia="仿宋"/>
          <w:sz w:val="24"/>
          <w:szCs w:val="24"/>
        </w:rPr>
      </w:pPr>
      <w:r>
        <w:rPr>
          <w:rFonts w:hint="eastAsia" w:ascii="仿宋" w:hAnsi="仿宋" w:eastAsia="仿宋"/>
          <w:b/>
          <w:sz w:val="24"/>
          <w:szCs w:val="24"/>
        </w:rPr>
        <w:t xml:space="preserve">    第四条 </w:t>
      </w:r>
      <w:r>
        <w:rPr>
          <w:rFonts w:hint="eastAsia" w:ascii="仿宋" w:hAnsi="仿宋" w:eastAsia="仿宋"/>
          <w:sz w:val="24"/>
          <w:szCs w:val="24"/>
        </w:rPr>
        <w:t>根据学校实际，我校研究生学业奖学金设研究生新生学业奖学金和研究生学年学业奖学金两种类型。</w:t>
      </w:r>
    </w:p>
    <w:p>
      <w:pPr>
        <w:tabs>
          <w:tab w:val="left" w:pos="6345"/>
        </w:tabs>
        <w:jc w:val="left"/>
        <w:rPr>
          <w:rFonts w:ascii="仿宋" w:hAnsi="仿宋" w:eastAsia="仿宋"/>
          <w:sz w:val="24"/>
          <w:szCs w:val="24"/>
        </w:rPr>
      </w:pPr>
      <w:r>
        <w:rPr>
          <w:rFonts w:hint="eastAsia" w:ascii="仿宋" w:hAnsi="仿宋" w:eastAsia="仿宋"/>
          <w:b/>
          <w:sz w:val="24"/>
          <w:szCs w:val="24"/>
        </w:rPr>
        <w:t xml:space="preserve">    第五条 </w:t>
      </w:r>
      <w:r>
        <w:rPr>
          <w:rFonts w:hint="eastAsia" w:ascii="仿宋" w:hAnsi="仿宋" w:eastAsia="仿宋"/>
          <w:sz w:val="24"/>
          <w:szCs w:val="24"/>
        </w:rPr>
        <w:t>研究生新生学业奖学金奖励等级、标准和比例</w:t>
      </w:r>
    </w:p>
    <w:p>
      <w:pPr>
        <w:tabs>
          <w:tab w:val="left" w:pos="6345"/>
        </w:tabs>
        <w:jc w:val="left"/>
        <w:rPr>
          <w:rFonts w:ascii="仿宋" w:hAnsi="仿宋" w:eastAsia="仿宋"/>
          <w:sz w:val="24"/>
          <w:szCs w:val="24"/>
        </w:rPr>
      </w:pPr>
      <w:r>
        <w:rPr>
          <w:rFonts w:hint="eastAsia" w:ascii="仿宋" w:hAnsi="仿宋" w:eastAsia="仿宋"/>
          <w:sz w:val="24"/>
          <w:szCs w:val="24"/>
        </w:rPr>
        <w:t>（一）博士生新生学业奖学金奖励等级、标准和比例</w:t>
      </w:r>
    </w:p>
    <w:p>
      <w:pPr>
        <w:tabs>
          <w:tab w:val="left" w:pos="6345"/>
        </w:tabs>
        <w:jc w:val="left"/>
        <w:rPr>
          <w:rFonts w:ascii="仿宋" w:hAnsi="仿宋" w:eastAsia="仿宋"/>
          <w:sz w:val="24"/>
          <w:szCs w:val="24"/>
        </w:rPr>
      </w:pPr>
      <w:r>
        <w:rPr>
          <w:rFonts w:hint="eastAsia" w:ascii="仿宋" w:hAnsi="仿宋" w:eastAsia="仿宋"/>
          <w:sz w:val="24"/>
          <w:szCs w:val="24"/>
        </w:rPr>
        <w:t xml:space="preserve">    博士生新生学业奖学金发放对象为一年级博士研究生，不分等级，奖励标准为每生</w:t>
      </w:r>
      <w:r>
        <w:rPr>
          <w:rFonts w:ascii="仿宋" w:hAnsi="仿宋" w:eastAsia="仿宋"/>
          <w:sz w:val="24"/>
          <w:szCs w:val="24"/>
        </w:rPr>
        <w:t xml:space="preserve">10000 </w:t>
      </w:r>
      <w:r>
        <w:rPr>
          <w:rFonts w:hint="eastAsia" w:ascii="仿宋" w:hAnsi="仿宋" w:eastAsia="仿宋"/>
          <w:sz w:val="24"/>
          <w:szCs w:val="24"/>
        </w:rPr>
        <w:t>元</w:t>
      </w:r>
      <w:r>
        <w:rPr>
          <w:rFonts w:ascii="仿宋" w:hAnsi="仿宋" w:eastAsia="仿宋"/>
          <w:sz w:val="24"/>
          <w:szCs w:val="24"/>
        </w:rPr>
        <w:t>/</w:t>
      </w:r>
      <w:r>
        <w:rPr>
          <w:rFonts w:hint="eastAsia" w:ascii="仿宋" w:hAnsi="仿宋" w:eastAsia="仿宋"/>
          <w:sz w:val="24"/>
          <w:szCs w:val="24"/>
        </w:rPr>
        <w:t>年，奖励比例为一年级博士研究生的</w:t>
      </w:r>
      <w:r>
        <w:rPr>
          <w:rFonts w:ascii="仿宋" w:hAnsi="仿宋" w:eastAsia="仿宋"/>
          <w:sz w:val="24"/>
          <w:szCs w:val="24"/>
        </w:rPr>
        <w:t>100%</w:t>
      </w:r>
      <w:r>
        <w:rPr>
          <w:rFonts w:hint="eastAsia" w:ascii="仿宋" w:hAnsi="仿宋" w:eastAsia="仿宋"/>
          <w:sz w:val="24"/>
          <w:szCs w:val="24"/>
        </w:rPr>
        <w:t>。</w:t>
      </w:r>
    </w:p>
    <w:p>
      <w:pPr>
        <w:tabs>
          <w:tab w:val="left" w:pos="6345"/>
        </w:tabs>
        <w:jc w:val="left"/>
        <w:rPr>
          <w:rFonts w:ascii="仿宋" w:hAnsi="仿宋" w:eastAsia="仿宋"/>
          <w:sz w:val="24"/>
          <w:szCs w:val="24"/>
        </w:rPr>
      </w:pPr>
      <w:r>
        <w:rPr>
          <w:rFonts w:hint="eastAsia" w:ascii="仿宋" w:hAnsi="仿宋" w:eastAsia="仿宋"/>
          <w:sz w:val="24"/>
          <w:szCs w:val="24"/>
        </w:rPr>
        <w:t>（二）硕士生（含学术性学位、专业学位，下同）新生学业奖学金奖励等级、标</w:t>
      </w:r>
    </w:p>
    <w:p>
      <w:pPr>
        <w:tabs>
          <w:tab w:val="left" w:pos="6345"/>
        </w:tabs>
        <w:jc w:val="left"/>
        <w:rPr>
          <w:rFonts w:ascii="仿宋" w:hAnsi="仿宋" w:eastAsia="仿宋"/>
          <w:sz w:val="24"/>
          <w:szCs w:val="24"/>
        </w:rPr>
      </w:pPr>
      <w:r>
        <w:rPr>
          <w:rFonts w:hint="eastAsia" w:ascii="仿宋" w:hAnsi="仿宋" w:eastAsia="仿宋"/>
          <w:sz w:val="24"/>
          <w:szCs w:val="24"/>
        </w:rPr>
        <w:t>准和比例</w:t>
      </w:r>
    </w:p>
    <w:p>
      <w:pPr>
        <w:tabs>
          <w:tab w:val="left" w:pos="6345"/>
        </w:tabs>
        <w:jc w:val="left"/>
        <w:rPr>
          <w:rFonts w:ascii="仿宋" w:hAnsi="仿宋" w:eastAsia="仿宋"/>
          <w:sz w:val="24"/>
          <w:szCs w:val="24"/>
        </w:rPr>
      </w:pPr>
      <w:r>
        <w:rPr>
          <w:rFonts w:hint="eastAsia" w:ascii="仿宋" w:hAnsi="仿宋" w:eastAsia="仿宋"/>
          <w:sz w:val="24"/>
          <w:szCs w:val="24"/>
        </w:rPr>
        <w:t xml:space="preserve">    硕士生新生学业奖学金发放对象为一年级硕士研究生，</w:t>
      </w:r>
      <w:r>
        <w:rPr>
          <w:rFonts w:ascii="仿宋" w:hAnsi="仿宋" w:eastAsia="仿宋"/>
          <w:sz w:val="24"/>
          <w:szCs w:val="24"/>
        </w:rPr>
        <w:t xml:space="preserve">2014 </w:t>
      </w:r>
      <w:r>
        <w:rPr>
          <w:rFonts w:hint="eastAsia" w:ascii="仿宋" w:hAnsi="仿宋" w:eastAsia="仿宋"/>
          <w:sz w:val="24"/>
          <w:szCs w:val="24"/>
        </w:rPr>
        <w:t>年新生奖励标准均为学费的</w:t>
      </w:r>
      <w:r>
        <w:rPr>
          <w:rFonts w:ascii="仿宋" w:hAnsi="仿宋" w:eastAsia="仿宋"/>
          <w:sz w:val="24"/>
          <w:szCs w:val="24"/>
        </w:rPr>
        <w:t xml:space="preserve">100% </w:t>
      </w:r>
      <w:r>
        <w:rPr>
          <w:rFonts w:hint="eastAsia" w:ascii="仿宋" w:hAnsi="仿宋" w:eastAsia="仿宋"/>
          <w:sz w:val="24"/>
          <w:szCs w:val="24"/>
        </w:rPr>
        <w:t>。从</w:t>
      </w:r>
      <w:r>
        <w:rPr>
          <w:rFonts w:ascii="仿宋" w:hAnsi="仿宋" w:eastAsia="仿宋"/>
          <w:sz w:val="24"/>
          <w:szCs w:val="24"/>
        </w:rPr>
        <w:t xml:space="preserve">2015 </w:t>
      </w:r>
      <w:r>
        <w:rPr>
          <w:rFonts w:hint="eastAsia" w:ascii="仿宋" w:hAnsi="仿宋" w:eastAsia="仿宋"/>
          <w:sz w:val="24"/>
          <w:szCs w:val="24"/>
        </w:rPr>
        <w:t>年开始分一志愿考生（含推免生）和调剂志愿考生两档实施。</w:t>
      </w:r>
    </w:p>
    <w:tbl>
      <w:tblPr>
        <w:tblStyle w:val="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39"/>
        <w:gridCol w:w="2139"/>
        <w:gridCol w:w="21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1" w:hRule="atLeast"/>
          <w:jc w:val="center"/>
        </w:trPr>
        <w:tc>
          <w:tcPr>
            <w:tcW w:w="2139"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报考学校志愿</w:t>
            </w:r>
          </w:p>
        </w:tc>
        <w:tc>
          <w:tcPr>
            <w:tcW w:w="2139"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奖励标准</w:t>
            </w:r>
          </w:p>
        </w:tc>
        <w:tc>
          <w:tcPr>
            <w:tcW w:w="2140"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奖励比例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jc w:val="center"/>
        </w:trPr>
        <w:tc>
          <w:tcPr>
            <w:tcW w:w="2139"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一志愿（含推免生）</w:t>
            </w:r>
          </w:p>
        </w:tc>
        <w:tc>
          <w:tcPr>
            <w:tcW w:w="2139"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学费的100%</w:t>
            </w:r>
          </w:p>
        </w:tc>
        <w:tc>
          <w:tcPr>
            <w:tcW w:w="2140" w:type="dxa"/>
            <w:vMerge w:val="restart"/>
            <w:vAlign w:val="center"/>
          </w:tcPr>
          <w:p>
            <w:pPr>
              <w:tabs>
                <w:tab w:val="left" w:pos="6345"/>
              </w:tabs>
              <w:jc w:val="center"/>
              <w:rPr>
                <w:rFonts w:ascii="仿宋" w:hAnsi="仿宋" w:eastAsia="仿宋"/>
                <w:sz w:val="24"/>
                <w:szCs w:val="24"/>
              </w:rPr>
            </w:pPr>
            <w:r>
              <w:rPr>
                <w:rFonts w:hint="eastAsia" w:ascii="仿宋" w:hAnsi="仿宋" w:eastAsia="仿宋"/>
                <w:sz w:val="24"/>
                <w:szCs w:val="24"/>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 w:hRule="atLeast"/>
          <w:jc w:val="center"/>
        </w:trPr>
        <w:tc>
          <w:tcPr>
            <w:tcW w:w="2139"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调剂志愿</w:t>
            </w:r>
          </w:p>
        </w:tc>
        <w:tc>
          <w:tcPr>
            <w:tcW w:w="2139"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学费的80%</w:t>
            </w:r>
          </w:p>
        </w:tc>
        <w:tc>
          <w:tcPr>
            <w:tcW w:w="2140" w:type="dxa"/>
            <w:vMerge w:val="continue"/>
          </w:tcPr>
          <w:p>
            <w:pPr>
              <w:tabs>
                <w:tab w:val="left" w:pos="6345"/>
              </w:tabs>
              <w:jc w:val="center"/>
              <w:rPr>
                <w:rFonts w:ascii="仿宋" w:hAnsi="仿宋" w:eastAsia="仿宋"/>
                <w:sz w:val="24"/>
                <w:szCs w:val="24"/>
              </w:rPr>
            </w:pPr>
          </w:p>
        </w:tc>
      </w:tr>
    </w:tbl>
    <w:p>
      <w:pPr>
        <w:tabs>
          <w:tab w:val="left" w:pos="6345"/>
        </w:tabs>
        <w:jc w:val="left"/>
        <w:rPr>
          <w:rFonts w:ascii="仿宋" w:hAnsi="仿宋" w:eastAsia="仿宋"/>
          <w:sz w:val="24"/>
          <w:szCs w:val="24"/>
        </w:rPr>
      </w:pPr>
      <w:r>
        <w:rPr>
          <w:rFonts w:hint="eastAsia" w:ascii="仿宋" w:hAnsi="仿宋" w:eastAsia="仿宋"/>
          <w:sz w:val="24"/>
          <w:szCs w:val="24"/>
        </w:rPr>
        <w:t xml:space="preserve">   </w:t>
      </w:r>
    </w:p>
    <w:p>
      <w:pPr>
        <w:tabs>
          <w:tab w:val="left" w:pos="6345"/>
        </w:tabs>
        <w:jc w:val="left"/>
        <w:rPr>
          <w:rFonts w:ascii="仿宋" w:hAnsi="仿宋" w:eastAsia="仿宋"/>
          <w:sz w:val="24"/>
          <w:szCs w:val="24"/>
        </w:rPr>
      </w:pPr>
      <w:r>
        <w:rPr>
          <w:rFonts w:hint="eastAsia" w:ascii="仿宋" w:hAnsi="仿宋" w:eastAsia="仿宋"/>
          <w:b/>
          <w:sz w:val="24"/>
          <w:szCs w:val="24"/>
        </w:rPr>
        <w:t xml:space="preserve">    第六条</w:t>
      </w:r>
      <w:r>
        <w:rPr>
          <w:rFonts w:hint="eastAsia" w:ascii="仿宋" w:hAnsi="仿宋" w:eastAsia="仿宋"/>
          <w:sz w:val="24"/>
          <w:szCs w:val="24"/>
        </w:rPr>
        <w:t xml:space="preserve"> 学校研究生学年学业奖学金奖励等级、标准和比例</w:t>
      </w:r>
    </w:p>
    <w:tbl>
      <w:tblPr>
        <w:tblStyle w:val="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13"/>
        <w:gridCol w:w="1813"/>
        <w:gridCol w:w="2122"/>
        <w:gridCol w:w="15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jc w:val="center"/>
        </w:trPr>
        <w:tc>
          <w:tcPr>
            <w:tcW w:w="1813"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类别</w:t>
            </w:r>
          </w:p>
        </w:tc>
        <w:tc>
          <w:tcPr>
            <w:tcW w:w="1813"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等级</w:t>
            </w:r>
          </w:p>
        </w:tc>
        <w:tc>
          <w:tcPr>
            <w:tcW w:w="212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奖励标准</w:t>
            </w:r>
          </w:p>
        </w:tc>
        <w:tc>
          <w:tcPr>
            <w:tcW w:w="1502" w:type="dxa"/>
          </w:tcPr>
          <w:p>
            <w:pPr>
              <w:tabs>
                <w:tab w:val="left" w:pos="6345"/>
              </w:tabs>
              <w:jc w:val="left"/>
              <w:rPr>
                <w:rFonts w:ascii="仿宋" w:hAnsi="仿宋" w:eastAsia="仿宋"/>
                <w:sz w:val="24"/>
                <w:szCs w:val="24"/>
              </w:rPr>
            </w:pPr>
            <w:r>
              <w:rPr>
                <w:rFonts w:hint="eastAsia" w:ascii="仿宋" w:hAnsi="仿宋" w:eastAsia="仿宋"/>
                <w:sz w:val="24"/>
                <w:szCs w:val="24"/>
              </w:rPr>
              <w:t>奖励比例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813" w:type="dxa"/>
            <w:vMerge w:val="restart"/>
            <w:vAlign w:val="center"/>
          </w:tcPr>
          <w:p>
            <w:pPr>
              <w:tabs>
                <w:tab w:val="left" w:pos="6345"/>
              </w:tabs>
              <w:jc w:val="center"/>
              <w:rPr>
                <w:rFonts w:ascii="仿宋" w:hAnsi="仿宋" w:eastAsia="仿宋"/>
                <w:sz w:val="24"/>
                <w:szCs w:val="24"/>
              </w:rPr>
            </w:pPr>
            <w:r>
              <w:rPr>
                <w:rFonts w:hint="eastAsia" w:ascii="仿宋" w:hAnsi="仿宋" w:eastAsia="仿宋"/>
                <w:sz w:val="24"/>
                <w:szCs w:val="24"/>
              </w:rPr>
              <w:t>博士生</w:t>
            </w:r>
          </w:p>
        </w:tc>
        <w:tc>
          <w:tcPr>
            <w:tcW w:w="1813"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一等</w:t>
            </w:r>
          </w:p>
        </w:tc>
        <w:tc>
          <w:tcPr>
            <w:tcW w:w="212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18000元/年</w:t>
            </w:r>
          </w:p>
        </w:tc>
        <w:tc>
          <w:tcPr>
            <w:tcW w:w="150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jc w:val="center"/>
        </w:trPr>
        <w:tc>
          <w:tcPr>
            <w:tcW w:w="1813" w:type="dxa"/>
            <w:vMerge w:val="continue"/>
            <w:vAlign w:val="center"/>
          </w:tcPr>
          <w:p>
            <w:pPr>
              <w:tabs>
                <w:tab w:val="left" w:pos="6345"/>
              </w:tabs>
              <w:jc w:val="center"/>
              <w:rPr>
                <w:rFonts w:ascii="仿宋" w:hAnsi="仿宋" w:eastAsia="仿宋"/>
                <w:sz w:val="24"/>
                <w:szCs w:val="24"/>
              </w:rPr>
            </w:pPr>
          </w:p>
        </w:tc>
        <w:tc>
          <w:tcPr>
            <w:tcW w:w="1813"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二等</w:t>
            </w:r>
          </w:p>
        </w:tc>
        <w:tc>
          <w:tcPr>
            <w:tcW w:w="212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14000元/年</w:t>
            </w:r>
          </w:p>
        </w:tc>
        <w:tc>
          <w:tcPr>
            <w:tcW w:w="150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jc w:val="center"/>
        </w:trPr>
        <w:tc>
          <w:tcPr>
            <w:tcW w:w="1813" w:type="dxa"/>
            <w:vMerge w:val="continue"/>
            <w:vAlign w:val="center"/>
          </w:tcPr>
          <w:p>
            <w:pPr>
              <w:tabs>
                <w:tab w:val="left" w:pos="6345"/>
              </w:tabs>
              <w:jc w:val="center"/>
              <w:rPr>
                <w:rFonts w:ascii="仿宋" w:hAnsi="仿宋" w:eastAsia="仿宋"/>
                <w:sz w:val="24"/>
                <w:szCs w:val="24"/>
              </w:rPr>
            </w:pPr>
          </w:p>
        </w:tc>
        <w:tc>
          <w:tcPr>
            <w:tcW w:w="1813"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三等</w:t>
            </w:r>
          </w:p>
        </w:tc>
        <w:tc>
          <w:tcPr>
            <w:tcW w:w="212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10000元/年</w:t>
            </w:r>
          </w:p>
        </w:tc>
        <w:tc>
          <w:tcPr>
            <w:tcW w:w="150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813" w:type="dxa"/>
            <w:vMerge w:val="restart"/>
            <w:vAlign w:val="center"/>
          </w:tcPr>
          <w:p>
            <w:pPr>
              <w:tabs>
                <w:tab w:val="left" w:pos="6345"/>
              </w:tabs>
              <w:jc w:val="center"/>
              <w:rPr>
                <w:rFonts w:ascii="仿宋" w:hAnsi="仿宋" w:eastAsia="仿宋"/>
                <w:sz w:val="24"/>
                <w:szCs w:val="24"/>
              </w:rPr>
            </w:pPr>
            <w:r>
              <w:rPr>
                <w:rFonts w:hint="eastAsia" w:ascii="仿宋" w:hAnsi="仿宋" w:eastAsia="仿宋"/>
                <w:sz w:val="24"/>
                <w:szCs w:val="24"/>
              </w:rPr>
              <w:t>硕士生</w:t>
            </w:r>
          </w:p>
        </w:tc>
        <w:tc>
          <w:tcPr>
            <w:tcW w:w="1813"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一等</w:t>
            </w:r>
          </w:p>
        </w:tc>
        <w:tc>
          <w:tcPr>
            <w:tcW w:w="212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12000元/年</w:t>
            </w:r>
          </w:p>
        </w:tc>
        <w:tc>
          <w:tcPr>
            <w:tcW w:w="150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jc w:val="center"/>
        </w:trPr>
        <w:tc>
          <w:tcPr>
            <w:tcW w:w="1813" w:type="dxa"/>
            <w:vMerge w:val="continue"/>
            <w:vAlign w:val="center"/>
          </w:tcPr>
          <w:p>
            <w:pPr>
              <w:tabs>
                <w:tab w:val="left" w:pos="6345"/>
              </w:tabs>
              <w:jc w:val="center"/>
              <w:rPr>
                <w:rFonts w:ascii="仿宋" w:hAnsi="仿宋" w:eastAsia="仿宋"/>
                <w:sz w:val="24"/>
                <w:szCs w:val="24"/>
              </w:rPr>
            </w:pPr>
          </w:p>
        </w:tc>
        <w:tc>
          <w:tcPr>
            <w:tcW w:w="1813"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二等</w:t>
            </w:r>
          </w:p>
        </w:tc>
        <w:tc>
          <w:tcPr>
            <w:tcW w:w="212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10000元/年</w:t>
            </w:r>
          </w:p>
        </w:tc>
        <w:tc>
          <w:tcPr>
            <w:tcW w:w="150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jc w:val="center"/>
        </w:trPr>
        <w:tc>
          <w:tcPr>
            <w:tcW w:w="1813" w:type="dxa"/>
            <w:vMerge w:val="continue"/>
            <w:vAlign w:val="center"/>
          </w:tcPr>
          <w:p>
            <w:pPr>
              <w:tabs>
                <w:tab w:val="left" w:pos="6345"/>
              </w:tabs>
              <w:jc w:val="center"/>
              <w:rPr>
                <w:rFonts w:ascii="仿宋" w:hAnsi="仿宋" w:eastAsia="仿宋"/>
                <w:sz w:val="24"/>
                <w:szCs w:val="24"/>
              </w:rPr>
            </w:pPr>
          </w:p>
        </w:tc>
        <w:tc>
          <w:tcPr>
            <w:tcW w:w="1813"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三等</w:t>
            </w:r>
          </w:p>
        </w:tc>
        <w:tc>
          <w:tcPr>
            <w:tcW w:w="212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8000元/年</w:t>
            </w:r>
          </w:p>
        </w:tc>
        <w:tc>
          <w:tcPr>
            <w:tcW w:w="1502"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50%</w:t>
            </w:r>
          </w:p>
        </w:tc>
      </w:tr>
    </w:tbl>
    <w:p>
      <w:pPr>
        <w:tabs>
          <w:tab w:val="left" w:pos="6345"/>
        </w:tabs>
        <w:jc w:val="left"/>
        <w:rPr>
          <w:rFonts w:ascii="仿宋" w:hAnsi="仿宋" w:eastAsia="仿宋"/>
          <w:sz w:val="24"/>
          <w:szCs w:val="24"/>
        </w:rPr>
      </w:pPr>
      <w:r>
        <w:rPr>
          <w:rFonts w:hint="eastAsia" w:ascii="仿宋" w:hAnsi="仿宋" w:eastAsia="仿宋"/>
          <w:sz w:val="24"/>
          <w:szCs w:val="24"/>
        </w:rPr>
        <w:t>注：</w:t>
      </w:r>
      <w:r>
        <w:rPr>
          <w:rFonts w:ascii="仿宋" w:hAnsi="仿宋" w:eastAsia="仿宋"/>
          <w:sz w:val="24"/>
          <w:szCs w:val="24"/>
        </w:rPr>
        <w:t xml:space="preserve">2.5 </w:t>
      </w:r>
      <w:r>
        <w:rPr>
          <w:rFonts w:hint="eastAsia" w:ascii="仿宋" w:hAnsi="仿宋" w:eastAsia="仿宋"/>
          <w:sz w:val="24"/>
          <w:szCs w:val="24"/>
        </w:rPr>
        <w:t>年学制的硕士研究生，最后一次发放时，奖励额度减半。</w:t>
      </w:r>
    </w:p>
    <w:p>
      <w:pPr>
        <w:tabs>
          <w:tab w:val="left" w:pos="6345"/>
        </w:tabs>
        <w:jc w:val="left"/>
        <w:rPr>
          <w:rFonts w:ascii="仿宋" w:hAnsi="仿宋" w:eastAsia="仿宋"/>
          <w:sz w:val="24"/>
          <w:szCs w:val="24"/>
        </w:rPr>
      </w:pPr>
    </w:p>
    <w:p>
      <w:pPr>
        <w:tabs>
          <w:tab w:val="left" w:pos="6345"/>
        </w:tabs>
        <w:jc w:val="left"/>
        <w:rPr>
          <w:rFonts w:ascii="仿宋" w:hAnsi="仿宋" w:eastAsia="仿宋"/>
          <w:sz w:val="24"/>
          <w:szCs w:val="24"/>
        </w:rPr>
      </w:pPr>
    </w:p>
    <w:p>
      <w:pPr>
        <w:tabs>
          <w:tab w:val="left" w:pos="6345"/>
        </w:tabs>
        <w:jc w:val="center"/>
        <w:rPr>
          <w:rFonts w:ascii="仿宋" w:hAnsi="仿宋" w:eastAsia="仿宋"/>
          <w:b/>
          <w:sz w:val="24"/>
          <w:szCs w:val="24"/>
        </w:rPr>
      </w:pPr>
      <w:r>
        <w:rPr>
          <w:rFonts w:hint="eastAsia" w:ascii="仿宋" w:hAnsi="仿宋" w:eastAsia="仿宋"/>
          <w:b/>
          <w:sz w:val="24"/>
          <w:szCs w:val="24"/>
        </w:rPr>
        <w:t>第三章 申请条件、评奖学年、评奖规则</w:t>
      </w:r>
    </w:p>
    <w:p>
      <w:pPr>
        <w:tabs>
          <w:tab w:val="left" w:pos="6345"/>
        </w:tabs>
        <w:jc w:val="left"/>
        <w:rPr>
          <w:rFonts w:ascii="仿宋" w:hAnsi="仿宋" w:eastAsia="仿宋"/>
          <w:sz w:val="24"/>
          <w:szCs w:val="24"/>
        </w:rPr>
      </w:pPr>
      <w:r>
        <w:rPr>
          <w:rFonts w:hint="eastAsia" w:ascii="仿宋" w:hAnsi="仿宋" w:eastAsia="仿宋"/>
          <w:b/>
          <w:sz w:val="24"/>
          <w:szCs w:val="24"/>
        </w:rPr>
        <w:t xml:space="preserve">    第七条</w:t>
      </w:r>
      <w:r>
        <w:rPr>
          <w:rFonts w:hint="eastAsia" w:ascii="仿宋" w:hAnsi="仿宋" w:eastAsia="仿宋"/>
          <w:sz w:val="24"/>
          <w:szCs w:val="24"/>
        </w:rPr>
        <w:t xml:space="preserve"> 研究生学业奖学金的基本申请条件</w:t>
      </w:r>
    </w:p>
    <w:p>
      <w:pPr>
        <w:tabs>
          <w:tab w:val="left" w:pos="6345"/>
        </w:tabs>
        <w:jc w:val="left"/>
        <w:rPr>
          <w:rFonts w:ascii="仿宋" w:hAnsi="仿宋" w:eastAsia="仿宋"/>
          <w:sz w:val="24"/>
          <w:szCs w:val="24"/>
        </w:rPr>
      </w:pPr>
      <w:r>
        <w:rPr>
          <w:rFonts w:hint="eastAsia" w:ascii="仿宋" w:hAnsi="仿宋" w:eastAsia="仿宋"/>
          <w:sz w:val="24"/>
          <w:szCs w:val="24"/>
        </w:rPr>
        <w:t>（一）热爱社会主义祖国，拥护中国共产党的领导；</w:t>
      </w:r>
    </w:p>
    <w:p>
      <w:pPr>
        <w:tabs>
          <w:tab w:val="left" w:pos="6345"/>
        </w:tabs>
        <w:jc w:val="left"/>
        <w:rPr>
          <w:rFonts w:ascii="仿宋" w:hAnsi="仿宋" w:eastAsia="仿宋"/>
          <w:sz w:val="24"/>
          <w:szCs w:val="24"/>
        </w:rPr>
      </w:pPr>
      <w:r>
        <w:rPr>
          <w:rFonts w:hint="eastAsia" w:ascii="仿宋" w:hAnsi="仿宋" w:eastAsia="仿宋"/>
          <w:sz w:val="24"/>
          <w:szCs w:val="24"/>
        </w:rPr>
        <w:t>（二）遵守宪法和法律，遵守学校规章制度；</w:t>
      </w:r>
    </w:p>
    <w:p>
      <w:pPr>
        <w:tabs>
          <w:tab w:val="left" w:pos="6345"/>
        </w:tabs>
        <w:jc w:val="left"/>
        <w:rPr>
          <w:rFonts w:ascii="仿宋" w:hAnsi="仿宋" w:eastAsia="仿宋"/>
          <w:sz w:val="24"/>
          <w:szCs w:val="24"/>
        </w:rPr>
      </w:pPr>
      <w:r>
        <w:rPr>
          <w:rFonts w:hint="eastAsia" w:ascii="仿宋" w:hAnsi="仿宋" w:eastAsia="仿宋"/>
          <w:sz w:val="24"/>
          <w:szCs w:val="24"/>
        </w:rPr>
        <w:t>（三）诚实守信，品学兼优；</w:t>
      </w:r>
    </w:p>
    <w:p>
      <w:pPr>
        <w:tabs>
          <w:tab w:val="left" w:pos="6345"/>
        </w:tabs>
        <w:jc w:val="left"/>
        <w:rPr>
          <w:rFonts w:ascii="仿宋" w:hAnsi="仿宋" w:eastAsia="仿宋"/>
          <w:sz w:val="24"/>
          <w:szCs w:val="24"/>
        </w:rPr>
      </w:pPr>
      <w:r>
        <w:rPr>
          <w:rFonts w:hint="eastAsia" w:ascii="仿宋" w:hAnsi="仿宋" w:eastAsia="仿宋"/>
          <w:sz w:val="24"/>
          <w:szCs w:val="24"/>
        </w:rPr>
        <w:t>（四）积极参与科学研究和社会实践。</w:t>
      </w:r>
    </w:p>
    <w:p>
      <w:pPr>
        <w:tabs>
          <w:tab w:val="left" w:pos="6345"/>
        </w:tabs>
        <w:jc w:val="left"/>
        <w:rPr>
          <w:rFonts w:ascii="仿宋" w:hAnsi="仿宋" w:eastAsia="仿宋"/>
          <w:sz w:val="24"/>
          <w:szCs w:val="24"/>
        </w:rPr>
      </w:pPr>
      <w:r>
        <w:rPr>
          <w:rFonts w:hint="eastAsia" w:ascii="仿宋" w:hAnsi="仿宋" w:eastAsia="仿宋"/>
          <w:b/>
          <w:sz w:val="24"/>
          <w:szCs w:val="24"/>
        </w:rPr>
        <w:t xml:space="preserve">    第八条</w:t>
      </w:r>
      <w:r>
        <w:rPr>
          <w:rFonts w:hint="eastAsia" w:ascii="仿宋" w:hAnsi="仿宋" w:eastAsia="仿宋"/>
          <w:sz w:val="24"/>
          <w:szCs w:val="24"/>
        </w:rPr>
        <w:t xml:space="preserve"> 除新生学业奖学金外，在校研究生学年学业奖学金的评奖学年为上年</w:t>
      </w:r>
      <w:r>
        <w:rPr>
          <w:rFonts w:ascii="仿宋" w:hAnsi="仿宋" w:eastAsia="仿宋"/>
          <w:sz w:val="24"/>
          <w:szCs w:val="24"/>
        </w:rPr>
        <w:t xml:space="preserve">9 </w:t>
      </w:r>
      <w:r>
        <w:rPr>
          <w:rFonts w:hint="eastAsia" w:ascii="仿宋" w:hAnsi="仿宋" w:eastAsia="仿宋"/>
          <w:sz w:val="24"/>
          <w:szCs w:val="24"/>
        </w:rPr>
        <w:t>月</w:t>
      </w:r>
      <w:r>
        <w:rPr>
          <w:rFonts w:ascii="仿宋" w:hAnsi="仿宋" w:eastAsia="仿宋"/>
          <w:sz w:val="24"/>
          <w:szCs w:val="24"/>
        </w:rPr>
        <w:t xml:space="preserve">1 </w:t>
      </w:r>
      <w:r>
        <w:rPr>
          <w:rFonts w:hint="eastAsia" w:ascii="仿宋" w:hAnsi="仿宋" w:eastAsia="仿宋"/>
          <w:sz w:val="24"/>
          <w:szCs w:val="24"/>
        </w:rPr>
        <w:t>日至当年</w:t>
      </w:r>
      <w:r>
        <w:rPr>
          <w:rFonts w:ascii="仿宋" w:hAnsi="仿宋" w:eastAsia="仿宋"/>
          <w:sz w:val="24"/>
          <w:szCs w:val="24"/>
        </w:rPr>
        <w:t xml:space="preserve">8 </w:t>
      </w:r>
      <w:r>
        <w:rPr>
          <w:rFonts w:hint="eastAsia" w:ascii="仿宋" w:hAnsi="仿宋" w:eastAsia="仿宋"/>
          <w:sz w:val="24"/>
          <w:szCs w:val="24"/>
        </w:rPr>
        <w:t>月</w:t>
      </w:r>
      <w:r>
        <w:rPr>
          <w:rFonts w:ascii="仿宋" w:hAnsi="仿宋" w:eastAsia="仿宋"/>
          <w:sz w:val="24"/>
          <w:szCs w:val="24"/>
        </w:rPr>
        <w:t xml:space="preserve">31 </w:t>
      </w:r>
      <w:r>
        <w:rPr>
          <w:rFonts w:hint="eastAsia" w:ascii="仿宋" w:hAnsi="仿宋" w:eastAsia="仿宋"/>
          <w:sz w:val="24"/>
          <w:szCs w:val="24"/>
        </w:rPr>
        <w:t>日。</w:t>
      </w:r>
    </w:p>
    <w:p>
      <w:pPr>
        <w:tabs>
          <w:tab w:val="left" w:pos="6345"/>
        </w:tabs>
        <w:jc w:val="left"/>
        <w:rPr>
          <w:rFonts w:ascii="仿宋" w:hAnsi="仿宋" w:eastAsia="仿宋"/>
          <w:sz w:val="24"/>
          <w:szCs w:val="24"/>
        </w:rPr>
      </w:pPr>
      <w:r>
        <w:rPr>
          <w:rFonts w:hint="eastAsia" w:ascii="仿宋" w:hAnsi="仿宋" w:eastAsia="仿宋"/>
          <w:sz w:val="24"/>
          <w:szCs w:val="24"/>
        </w:rPr>
        <w:t xml:space="preserve"> </w:t>
      </w:r>
      <w:r>
        <w:rPr>
          <w:rFonts w:hint="eastAsia" w:ascii="仿宋" w:hAnsi="仿宋" w:eastAsia="仿宋"/>
          <w:b/>
          <w:sz w:val="24"/>
          <w:szCs w:val="24"/>
        </w:rPr>
        <w:t xml:space="preserve">   第九条</w:t>
      </w:r>
      <w:r>
        <w:rPr>
          <w:rFonts w:hint="eastAsia" w:ascii="仿宋" w:hAnsi="仿宋" w:eastAsia="仿宋"/>
          <w:sz w:val="24"/>
          <w:szCs w:val="24"/>
        </w:rPr>
        <w:t xml:space="preserve"> 学业奖学金等级评定以综合测评结果为依据，综合测评细则详见《</w:t>
      </w:r>
      <w:r>
        <w:rPr>
          <w:rFonts w:ascii="仿宋" w:hAnsi="仿宋" w:eastAsia="仿宋"/>
          <w:sz w:val="24"/>
          <w:szCs w:val="24"/>
        </w:rPr>
        <w:t>浙江工商大学经济学院研究生综合测评办法</w:t>
      </w:r>
      <w:r>
        <w:rPr>
          <w:rFonts w:hint="eastAsia" w:ascii="仿宋" w:hAnsi="仿宋" w:eastAsia="仿宋"/>
          <w:sz w:val="24"/>
          <w:szCs w:val="24"/>
        </w:rPr>
        <w:t>》。</w:t>
      </w:r>
    </w:p>
    <w:p>
      <w:pPr>
        <w:tabs>
          <w:tab w:val="left" w:pos="6345"/>
        </w:tabs>
        <w:jc w:val="left"/>
        <w:rPr>
          <w:rFonts w:ascii="仿宋" w:hAnsi="仿宋" w:eastAsia="仿宋"/>
          <w:sz w:val="24"/>
          <w:szCs w:val="24"/>
        </w:rPr>
      </w:pPr>
      <w:r>
        <w:rPr>
          <w:rFonts w:hint="eastAsia" w:ascii="仿宋" w:hAnsi="仿宋" w:eastAsia="仿宋"/>
          <w:sz w:val="24"/>
          <w:szCs w:val="24"/>
        </w:rPr>
        <w:t xml:space="preserve">   </w:t>
      </w:r>
      <w:r>
        <w:rPr>
          <w:rFonts w:hint="eastAsia" w:ascii="仿宋" w:hAnsi="仿宋" w:eastAsia="仿宋"/>
          <w:b/>
          <w:sz w:val="24"/>
          <w:szCs w:val="24"/>
        </w:rPr>
        <w:t xml:space="preserve"> 第十条 </w:t>
      </w:r>
      <w:r>
        <w:rPr>
          <w:rFonts w:hint="eastAsia" w:ascii="仿宋" w:hAnsi="仿宋" w:eastAsia="仿宋"/>
          <w:sz w:val="24"/>
          <w:szCs w:val="24"/>
        </w:rPr>
        <w:t>根据经济学院所分配的奖学金额度、各年级研究生人数和学业奖学金一二三等的比例要求，各年级各档次学业奖学金名额分配如下：</w:t>
      </w:r>
    </w:p>
    <w:p>
      <w:pPr>
        <w:tabs>
          <w:tab w:val="left" w:pos="6345"/>
        </w:tabs>
        <w:jc w:val="left"/>
        <w:rPr>
          <w:rFonts w:ascii="仿宋" w:hAnsi="仿宋" w:eastAsia="仿宋"/>
          <w:b/>
          <w:sz w:val="24"/>
          <w:szCs w:val="24"/>
        </w:rPr>
      </w:pPr>
      <w:r>
        <w:rPr>
          <w:rFonts w:hint="eastAsia" w:ascii="仿宋" w:hAnsi="仿宋" w:eastAsia="仿宋"/>
          <w:b/>
          <w:sz w:val="24"/>
          <w:szCs w:val="24"/>
        </w:rPr>
        <w:t>硕士：</w:t>
      </w:r>
    </w:p>
    <w:p>
      <w:pPr>
        <w:tabs>
          <w:tab w:val="left" w:pos="6345"/>
        </w:tabs>
        <w:jc w:val="left"/>
        <w:rPr>
          <w:rFonts w:ascii="仿宋" w:hAnsi="仿宋" w:eastAsia="仿宋"/>
          <w:sz w:val="24"/>
          <w:szCs w:val="24"/>
        </w:rPr>
      </w:pPr>
      <w:r>
        <w:rPr>
          <w:rFonts w:hint="eastAsia" w:ascii="仿宋" w:hAnsi="仿宋" w:eastAsia="仿宋"/>
          <w:sz w:val="24"/>
          <w:szCs w:val="24"/>
        </w:rPr>
        <w:t>注：当年休学或退学者不参加学业奖学金评定。</w:t>
      </w:r>
    </w:p>
    <w:p>
      <w:pPr>
        <w:tabs>
          <w:tab w:val="left" w:pos="6345"/>
        </w:tabs>
        <w:jc w:val="left"/>
        <w:rPr>
          <w:rFonts w:ascii="仿宋" w:hAnsi="仿宋" w:eastAsia="仿宋"/>
          <w:sz w:val="24"/>
          <w:szCs w:val="24"/>
        </w:rPr>
      </w:pPr>
    </w:p>
    <w:tbl>
      <w:tblPr>
        <w:tblStyle w:val="2"/>
        <w:tblW w:w="76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14"/>
        <w:gridCol w:w="1060"/>
        <w:gridCol w:w="945"/>
        <w:gridCol w:w="1137"/>
        <w:gridCol w:w="971"/>
        <w:gridCol w:w="1110"/>
        <w:gridCol w:w="11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6" w:hRule="atLeast"/>
          <w:jc w:val="center"/>
        </w:trPr>
        <w:tc>
          <w:tcPr>
            <w:tcW w:w="1214"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年级</w:t>
            </w:r>
          </w:p>
        </w:tc>
        <w:tc>
          <w:tcPr>
            <w:tcW w:w="1060"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人数</w:t>
            </w: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等级</w:t>
            </w:r>
          </w:p>
        </w:tc>
        <w:tc>
          <w:tcPr>
            <w:tcW w:w="1137"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名额</w:t>
            </w:r>
            <w:r>
              <w:rPr>
                <w:rFonts w:ascii="仿宋" w:hAnsi="仿宋" w:eastAsia="仿宋"/>
                <w:sz w:val="24"/>
                <w:szCs w:val="24"/>
              </w:rPr>
              <w:br w:type="textWrapping"/>
            </w:r>
            <w:r>
              <w:rPr>
                <w:rFonts w:hint="eastAsia" w:ascii="仿宋" w:hAnsi="仿宋" w:eastAsia="仿宋"/>
                <w:sz w:val="24"/>
                <w:szCs w:val="24"/>
              </w:rPr>
              <w:t>分配</w:t>
            </w:r>
          </w:p>
        </w:tc>
        <w:tc>
          <w:tcPr>
            <w:tcW w:w="971"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奖学金</w:t>
            </w:r>
            <w:r>
              <w:rPr>
                <w:rFonts w:ascii="仿宋" w:hAnsi="仿宋" w:eastAsia="仿宋"/>
                <w:sz w:val="24"/>
                <w:szCs w:val="24"/>
              </w:rPr>
              <w:br w:type="textWrapping"/>
            </w:r>
            <w:r>
              <w:rPr>
                <w:rFonts w:hint="eastAsia" w:ascii="仿宋" w:hAnsi="仿宋" w:eastAsia="仿宋"/>
                <w:sz w:val="24"/>
                <w:szCs w:val="24"/>
              </w:rPr>
              <w:t>总额(万元)</w:t>
            </w:r>
          </w:p>
        </w:tc>
        <w:tc>
          <w:tcPr>
            <w:tcW w:w="1110"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总计</w:t>
            </w:r>
          </w:p>
          <w:p>
            <w:pPr>
              <w:tabs>
                <w:tab w:val="left" w:pos="6345"/>
              </w:tabs>
              <w:jc w:val="center"/>
              <w:rPr>
                <w:rFonts w:ascii="仿宋" w:hAnsi="仿宋" w:eastAsia="仿宋"/>
                <w:sz w:val="24"/>
                <w:szCs w:val="24"/>
              </w:rPr>
            </w:pPr>
            <w:r>
              <w:rPr>
                <w:rFonts w:hint="eastAsia" w:ascii="仿宋" w:hAnsi="仿宋" w:eastAsia="仿宋"/>
                <w:sz w:val="24"/>
                <w:szCs w:val="24"/>
              </w:rPr>
              <w:t>（万元）</w:t>
            </w:r>
          </w:p>
        </w:tc>
        <w:tc>
          <w:tcPr>
            <w:tcW w:w="1182" w:type="dxa"/>
          </w:tcPr>
          <w:p>
            <w:pPr>
              <w:tabs>
                <w:tab w:val="left" w:pos="6345"/>
              </w:tabs>
              <w:jc w:val="center"/>
              <w:rPr>
                <w:rFonts w:ascii="仿宋" w:hAnsi="仿宋" w:eastAsia="仿宋"/>
                <w:sz w:val="24"/>
                <w:szCs w:val="24"/>
              </w:rPr>
            </w:pPr>
            <w:r>
              <w:rPr>
                <w:rFonts w:hint="eastAsia" w:ascii="仿宋" w:hAnsi="仿宋" w:eastAsia="仿宋"/>
                <w:sz w:val="24"/>
                <w:szCs w:val="24"/>
              </w:rPr>
              <w:t>学校分配额度</w:t>
            </w:r>
          </w:p>
          <w:p>
            <w:pPr>
              <w:tabs>
                <w:tab w:val="left" w:pos="6345"/>
              </w:tabs>
              <w:jc w:val="center"/>
              <w:rPr>
                <w:rFonts w:ascii="仿宋" w:hAnsi="仿宋" w:eastAsia="仿宋"/>
                <w:sz w:val="24"/>
                <w:szCs w:val="24"/>
              </w:rPr>
            </w:pPr>
            <w:r>
              <w:rPr>
                <w:rFonts w:hint="eastAsia" w:ascii="仿宋" w:hAnsi="仿宋" w:eastAsia="仿宋"/>
                <w:sz w:val="24"/>
                <w:szCs w:val="24"/>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4" w:type="dxa"/>
            <w:vMerge w:val="restart"/>
            <w:vAlign w:val="center"/>
          </w:tcPr>
          <w:p>
            <w:pPr>
              <w:tabs>
                <w:tab w:val="left" w:pos="6345"/>
              </w:tabs>
              <w:jc w:val="center"/>
              <w:rPr>
                <w:rFonts w:ascii="仿宋" w:hAnsi="仿宋" w:eastAsia="仿宋"/>
                <w:sz w:val="24"/>
                <w:szCs w:val="24"/>
              </w:rPr>
            </w:pPr>
            <w:r>
              <w:rPr>
                <w:rFonts w:hint="eastAsia" w:ascii="仿宋" w:hAnsi="仿宋" w:eastAsia="仿宋"/>
                <w:sz w:val="24"/>
                <w:szCs w:val="24"/>
              </w:rPr>
              <w:t>20</w:t>
            </w:r>
            <w:r>
              <w:rPr>
                <w:rFonts w:hint="eastAsia" w:ascii="仿宋" w:hAnsi="仿宋" w:eastAsia="仿宋"/>
                <w:sz w:val="24"/>
                <w:szCs w:val="24"/>
                <w:lang w:val="en-US" w:eastAsia="zh-CN"/>
              </w:rPr>
              <w:t>21</w:t>
            </w:r>
            <w:r>
              <w:rPr>
                <w:rFonts w:hint="eastAsia" w:ascii="仿宋" w:hAnsi="仿宋" w:eastAsia="仿宋"/>
                <w:sz w:val="24"/>
                <w:szCs w:val="24"/>
              </w:rPr>
              <w:t>级</w:t>
            </w:r>
            <w:r>
              <w:rPr>
                <w:rFonts w:hint="eastAsia" w:ascii="仿宋" w:hAnsi="仿宋" w:eastAsia="仿宋"/>
                <w:sz w:val="24"/>
                <w:szCs w:val="24"/>
              </w:rPr>
              <w:br w:type="textWrapping"/>
            </w:r>
            <w:r>
              <w:rPr>
                <w:rFonts w:hint="eastAsia" w:ascii="仿宋" w:hAnsi="仿宋" w:eastAsia="仿宋"/>
                <w:sz w:val="24"/>
                <w:szCs w:val="24"/>
              </w:rPr>
              <w:t>学硕</w:t>
            </w:r>
          </w:p>
        </w:tc>
        <w:tc>
          <w:tcPr>
            <w:tcW w:w="1060" w:type="dxa"/>
            <w:vMerge w:val="restart"/>
            <w:vAlign w:val="center"/>
          </w:tcPr>
          <w:p>
            <w:pPr>
              <w:tabs>
                <w:tab w:val="left" w:pos="6345"/>
              </w:tabs>
              <w:jc w:val="center"/>
              <w:rPr>
                <w:rFonts w:hint="default" w:ascii="仿宋" w:hAnsi="仿宋" w:eastAsia="仿宋"/>
                <w:sz w:val="24"/>
                <w:szCs w:val="24"/>
                <w:lang w:val="en-US" w:eastAsia="zh-CN"/>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一等</w:t>
            </w:r>
          </w:p>
        </w:tc>
        <w:tc>
          <w:tcPr>
            <w:tcW w:w="1137" w:type="dxa"/>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14</w:t>
            </w:r>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8.4</w:t>
            </w:r>
          </w:p>
        </w:tc>
        <w:tc>
          <w:tcPr>
            <w:tcW w:w="1110" w:type="dxa"/>
            <w:vMerge w:val="restart"/>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174.4</w:t>
            </w:r>
          </w:p>
        </w:tc>
        <w:tc>
          <w:tcPr>
            <w:tcW w:w="1182" w:type="dxa"/>
            <w:vMerge w:val="restart"/>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174.46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4" w:type="dxa"/>
            <w:vMerge w:val="continue"/>
            <w:vAlign w:val="center"/>
          </w:tcPr>
          <w:p>
            <w:pPr>
              <w:tabs>
                <w:tab w:val="left" w:pos="6345"/>
              </w:tabs>
              <w:jc w:val="center"/>
              <w:rPr>
                <w:rFonts w:ascii="仿宋" w:hAnsi="仿宋" w:eastAsia="仿宋"/>
                <w:sz w:val="24"/>
                <w:szCs w:val="24"/>
              </w:rPr>
            </w:pPr>
          </w:p>
        </w:tc>
        <w:tc>
          <w:tcPr>
            <w:tcW w:w="1060" w:type="dxa"/>
            <w:vMerge w:val="continue"/>
            <w:vAlign w:val="center"/>
          </w:tcPr>
          <w:p>
            <w:pPr>
              <w:tabs>
                <w:tab w:val="left" w:pos="6345"/>
              </w:tabs>
              <w:jc w:val="center"/>
              <w:rPr>
                <w:rFonts w:ascii="仿宋" w:hAnsi="仿宋" w:eastAsia="仿宋"/>
                <w:sz w:val="24"/>
                <w:szCs w:val="24"/>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二等</w:t>
            </w:r>
          </w:p>
        </w:tc>
        <w:tc>
          <w:tcPr>
            <w:tcW w:w="1137" w:type="dxa"/>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22</w:t>
            </w:r>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11</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4" w:type="dxa"/>
            <w:vMerge w:val="continue"/>
            <w:vAlign w:val="center"/>
          </w:tcPr>
          <w:p>
            <w:pPr>
              <w:tabs>
                <w:tab w:val="left" w:pos="6345"/>
              </w:tabs>
              <w:jc w:val="center"/>
              <w:rPr>
                <w:rFonts w:ascii="仿宋" w:hAnsi="仿宋" w:eastAsia="仿宋"/>
                <w:sz w:val="24"/>
                <w:szCs w:val="24"/>
              </w:rPr>
            </w:pPr>
          </w:p>
        </w:tc>
        <w:tc>
          <w:tcPr>
            <w:tcW w:w="1060" w:type="dxa"/>
            <w:vMerge w:val="continue"/>
            <w:vAlign w:val="center"/>
          </w:tcPr>
          <w:p>
            <w:pPr>
              <w:tabs>
                <w:tab w:val="left" w:pos="6345"/>
              </w:tabs>
              <w:jc w:val="center"/>
              <w:rPr>
                <w:rFonts w:ascii="仿宋" w:hAnsi="仿宋" w:eastAsia="仿宋"/>
                <w:sz w:val="24"/>
                <w:szCs w:val="24"/>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三等</w:t>
            </w:r>
          </w:p>
        </w:tc>
        <w:tc>
          <w:tcPr>
            <w:tcW w:w="1137" w:type="dxa"/>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36</w:t>
            </w:r>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14.4</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4" w:type="dxa"/>
            <w:vMerge w:val="restart"/>
            <w:vAlign w:val="center"/>
          </w:tcPr>
          <w:p>
            <w:pPr>
              <w:tabs>
                <w:tab w:val="left" w:pos="6345"/>
              </w:tabs>
              <w:jc w:val="center"/>
              <w:rPr>
                <w:rFonts w:ascii="仿宋" w:hAnsi="仿宋" w:eastAsia="仿宋"/>
                <w:sz w:val="24"/>
                <w:szCs w:val="24"/>
              </w:rPr>
            </w:pPr>
            <w:r>
              <w:rPr>
                <w:rFonts w:hint="eastAsia" w:ascii="仿宋" w:hAnsi="仿宋" w:eastAsia="仿宋"/>
                <w:sz w:val="24"/>
                <w:szCs w:val="24"/>
              </w:rPr>
              <w:t>20</w:t>
            </w:r>
            <w:r>
              <w:rPr>
                <w:rFonts w:hint="eastAsia" w:ascii="仿宋" w:hAnsi="仿宋" w:eastAsia="仿宋"/>
                <w:sz w:val="24"/>
                <w:szCs w:val="24"/>
                <w:lang w:val="en-US" w:eastAsia="zh-CN"/>
              </w:rPr>
              <w:t>22</w:t>
            </w:r>
            <w:r>
              <w:rPr>
                <w:rFonts w:hint="eastAsia" w:ascii="仿宋" w:hAnsi="仿宋" w:eastAsia="仿宋"/>
                <w:sz w:val="24"/>
                <w:szCs w:val="24"/>
              </w:rPr>
              <w:t>级</w:t>
            </w:r>
            <w:r>
              <w:rPr>
                <w:rFonts w:ascii="仿宋" w:hAnsi="仿宋" w:eastAsia="仿宋"/>
                <w:sz w:val="24"/>
                <w:szCs w:val="24"/>
              </w:rPr>
              <w:br w:type="textWrapping"/>
            </w:r>
            <w:r>
              <w:rPr>
                <w:rFonts w:hint="eastAsia" w:ascii="仿宋" w:hAnsi="仿宋" w:eastAsia="仿宋"/>
                <w:sz w:val="24"/>
                <w:szCs w:val="24"/>
              </w:rPr>
              <w:t>学硕</w:t>
            </w:r>
          </w:p>
        </w:tc>
        <w:tc>
          <w:tcPr>
            <w:tcW w:w="1060" w:type="dxa"/>
            <w:vMerge w:val="restart"/>
            <w:vAlign w:val="center"/>
          </w:tcPr>
          <w:p>
            <w:pPr>
              <w:tabs>
                <w:tab w:val="left" w:pos="6345"/>
              </w:tabs>
              <w:jc w:val="center"/>
              <w:rPr>
                <w:rFonts w:hint="default" w:ascii="仿宋" w:hAnsi="仿宋" w:eastAsia="仿宋"/>
                <w:sz w:val="24"/>
                <w:szCs w:val="24"/>
                <w:lang w:val="en-US" w:eastAsia="zh-CN"/>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一等</w:t>
            </w:r>
          </w:p>
        </w:tc>
        <w:tc>
          <w:tcPr>
            <w:tcW w:w="1137" w:type="dxa"/>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16</w:t>
            </w:r>
          </w:p>
        </w:tc>
        <w:tc>
          <w:tcPr>
            <w:tcW w:w="971" w:type="dxa"/>
            <w:vAlign w:val="top"/>
          </w:tcPr>
          <w:p>
            <w:pPr>
              <w:keepNext w:val="0"/>
              <w:keepLines w:val="0"/>
              <w:widowControl/>
              <w:suppressLineNumbers w:val="0"/>
              <w:jc w:val="center"/>
              <w:textAlignment w:val="top"/>
              <w:rPr>
                <w:rFonts w:hint="default" w:ascii="Calibri" w:hAnsi="Calibri" w:eastAsia="宋体" w:cs="Calibri"/>
                <w:i w:val="0"/>
                <w:iCs w:val="0"/>
                <w:color w:val="000000"/>
                <w:kern w:val="2"/>
                <w:sz w:val="32"/>
                <w:szCs w:val="32"/>
                <w:u w:val="none"/>
                <w:lang w:val="en-US" w:eastAsia="zh-CN" w:bidi="ar-SA"/>
              </w:rPr>
            </w:pPr>
            <w:r>
              <w:rPr>
                <w:rFonts w:hint="eastAsia" w:ascii="仿宋" w:hAnsi="仿宋" w:eastAsia="仿宋" w:cs="仿宋"/>
                <w:i w:val="0"/>
                <w:iCs w:val="0"/>
                <w:color w:val="000000"/>
                <w:kern w:val="0"/>
                <w:sz w:val="24"/>
                <w:szCs w:val="24"/>
                <w:u w:val="none"/>
                <w:lang w:val="en-US" w:eastAsia="zh-CN" w:bidi="ar"/>
              </w:rPr>
              <w:t>19.2</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4" w:type="dxa"/>
            <w:vMerge w:val="continue"/>
            <w:vAlign w:val="center"/>
          </w:tcPr>
          <w:p>
            <w:pPr>
              <w:tabs>
                <w:tab w:val="left" w:pos="6345"/>
              </w:tabs>
              <w:jc w:val="center"/>
              <w:rPr>
                <w:rFonts w:ascii="仿宋" w:hAnsi="仿宋" w:eastAsia="仿宋"/>
                <w:sz w:val="24"/>
                <w:szCs w:val="24"/>
              </w:rPr>
            </w:pPr>
          </w:p>
        </w:tc>
        <w:tc>
          <w:tcPr>
            <w:tcW w:w="1060" w:type="dxa"/>
            <w:vMerge w:val="continue"/>
            <w:vAlign w:val="center"/>
          </w:tcPr>
          <w:p>
            <w:pPr>
              <w:tabs>
                <w:tab w:val="left" w:pos="6345"/>
              </w:tabs>
              <w:jc w:val="center"/>
              <w:rPr>
                <w:rFonts w:ascii="仿宋" w:hAnsi="仿宋" w:eastAsia="仿宋"/>
                <w:sz w:val="24"/>
                <w:szCs w:val="24"/>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二等</w:t>
            </w:r>
          </w:p>
        </w:tc>
        <w:tc>
          <w:tcPr>
            <w:tcW w:w="1137" w:type="dxa"/>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25</w:t>
            </w:r>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25</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14" w:type="dxa"/>
            <w:vMerge w:val="continue"/>
            <w:vAlign w:val="center"/>
          </w:tcPr>
          <w:p>
            <w:pPr>
              <w:tabs>
                <w:tab w:val="left" w:pos="6345"/>
              </w:tabs>
              <w:jc w:val="center"/>
              <w:rPr>
                <w:rFonts w:ascii="仿宋" w:hAnsi="仿宋" w:eastAsia="仿宋"/>
                <w:sz w:val="24"/>
                <w:szCs w:val="24"/>
              </w:rPr>
            </w:pPr>
          </w:p>
        </w:tc>
        <w:tc>
          <w:tcPr>
            <w:tcW w:w="1060" w:type="dxa"/>
            <w:vMerge w:val="continue"/>
            <w:vAlign w:val="center"/>
          </w:tcPr>
          <w:p>
            <w:pPr>
              <w:tabs>
                <w:tab w:val="left" w:pos="6345"/>
              </w:tabs>
              <w:jc w:val="center"/>
              <w:rPr>
                <w:rFonts w:ascii="仿宋" w:hAnsi="仿宋" w:eastAsia="仿宋"/>
                <w:sz w:val="24"/>
                <w:szCs w:val="24"/>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三等</w:t>
            </w:r>
          </w:p>
        </w:tc>
        <w:tc>
          <w:tcPr>
            <w:tcW w:w="1137" w:type="dxa"/>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38</w:t>
            </w:r>
            <w:bookmarkStart w:id="0" w:name="_GoBack"/>
            <w:bookmarkEnd w:id="0"/>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30.4</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1214" w:type="dxa"/>
            <w:vMerge w:val="restart"/>
            <w:vAlign w:val="center"/>
          </w:tcPr>
          <w:p>
            <w:pPr>
              <w:tabs>
                <w:tab w:val="left" w:pos="6345"/>
              </w:tabs>
              <w:jc w:val="center"/>
              <w:rPr>
                <w:rFonts w:ascii="仿宋" w:hAnsi="仿宋" w:eastAsia="仿宋"/>
                <w:sz w:val="24"/>
                <w:szCs w:val="24"/>
              </w:rPr>
            </w:pPr>
            <w:r>
              <w:rPr>
                <w:rFonts w:hint="eastAsia" w:ascii="仿宋" w:hAnsi="仿宋" w:eastAsia="仿宋"/>
                <w:sz w:val="24"/>
                <w:szCs w:val="24"/>
              </w:rPr>
              <w:t>202</w:t>
            </w:r>
            <w:r>
              <w:rPr>
                <w:rFonts w:hint="eastAsia" w:ascii="仿宋" w:hAnsi="仿宋" w:eastAsia="仿宋"/>
                <w:sz w:val="24"/>
                <w:szCs w:val="24"/>
                <w:lang w:val="en-US" w:eastAsia="zh-CN"/>
              </w:rPr>
              <w:t>2</w:t>
            </w:r>
            <w:r>
              <w:rPr>
                <w:rFonts w:hint="eastAsia" w:ascii="仿宋" w:hAnsi="仿宋" w:eastAsia="仿宋"/>
                <w:sz w:val="24"/>
                <w:szCs w:val="24"/>
              </w:rPr>
              <w:t>级</w:t>
            </w:r>
            <w:r>
              <w:rPr>
                <w:rFonts w:hint="eastAsia" w:ascii="仿宋" w:hAnsi="仿宋" w:eastAsia="仿宋"/>
                <w:sz w:val="24"/>
                <w:szCs w:val="24"/>
              </w:rPr>
              <w:br w:type="textWrapping"/>
            </w:r>
            <w:r>
              <w:rPr>
                <w:rFonts w:hint="eastAsia" w:ascii="仿宋" w:hAnsi="仿宋" w:eastAsia="仿宋"/>
                <w:sz w:val="24"/>
                <w:szCs w:val="24"/>
              </w:rPr>
              <w:t>专硕</w:t>
            </w:r>
          </w:p>
        </w:tc>
        <w:tc>
          <w:tcPr>
            <w:tcW w:w="1060" w:type="dxa"/>
            <w:vMerge w:val="restart"/>
            <w:vAlign w:val="center"/>
          </w:tcPr>
          <w:p>
            <w:pPr>
              <w:tabs>
                <w:tab w:val="left" w:pos="6345"/>
              </w:tabs>
              <w:jc w:val="center"/>
              <w:rPr>
                <w:rFonts w:hint="default" w:ascii="仿宋" w:hAnsi="仿宋" w:eastAsia="仿宋"/>
                <w:sz w:val="24"/>
                <w:szCs w:val="24"/>
                <w:lang w:val="en-US" w:eastAsia="zh-CN"/>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一等</w:t>
            </w:r>
          </w:p>
        </w:tc>
        <w:tc>
          <w:tcPr>
            <w:tcW w:w="1137" w:type="dxa"/>
            <w:vAlign w:val="center"/>
          </w:tcPr>
          <w:p>
            <w:pPr>
              <w:tabs>
                <w:tab w:val="left" w:pos="6345"/>
              </w:tabs>
              <w:jc w:val="center"/>
              <w:rPr>
                <w:rFonts w:hint="eastAsia" w:ascii="仿宋" w:hAnsi="仿宋" w:eastAsia="仿宋"/>
                <w:sz w:val="24"/>
                <w:szCs w:val="24"/>
                <w:lang w:val="en-US" w:eastAsia="zh-CN"/>
              </w:rPr>
            </w:pPr>
            <w:r>
              <w:rPr>
                <w:rFonts w:hint="eastAsia" w:ascii="仿宋" w:hAnsi="仿宋" w:eastAsia="仿宋"/>
                <w:sz w:val="24"/>
                <w:szCs w:val="24"/>
                <w:lang w:val="en-US" w:eastAsia="zh-CN"/>
              </w:rPr>
              <w:t>8</w:t>
            </w:r>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9.6</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1214" w:type="dxa"/>
            <w:vMerge w:val="continue"/>
            <w:vAlign w:val="center"/>
          </w:tcPr>
          <w:p>
            <w:pPr>
              <w:tabs>
                <w:tab w:val="left" w:pos="6345"/>
              </w:tabs>
              <w:jc w:val="center"/>
              <w:rPr>
                <w:rFonts w:ascii="仿宋" w:hAnsi="仿宋" w:eastAsia="仿宋"/>
                <w:sz w:val="24"/>
                <w:szCs w:val="24"/>
              </w:rPr>
            </w:pPr>
          </w:p>
        </w:tc>
        <w:tc>
          <w:tcPr>
            <w:tcW w:w="1060" w:type="dxa"/>
            <w:vMerge w:val="continue"/>
            <w:vAlign w:val="center"/>
          </w:tcPr>
          <w:p>
            <w:pPr>
              <w:tabs>
                <w:tab w:val="left" w:pos="6345"/>
              </w:tabs>
              <w:jc w:val="center"/>
              <w:rPr>
                <w:rFonts w:ascii="仿宋" w:hAnsi="仿宋" w:eastAsia="仿宋"/>
                <w:sz w:val="24"/>
                <w:szCs w:val="24"/>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二等</w:t>
            </w:r>
          </w:p>
        </w:tc>
        <w:tc>
          <w:tcPr>
            <w:tcW w:w="1137" w:type="dxa"/>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13</w:t>
            </w:r>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13</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1214" w:type="dxa"/>
            <w:vMerge w:val="continue"/>
            <w:vAlign w:val="center"/>
          </w:tcPr>
          <w:p>
            <w:pPr>
              <w:tabs>
                <w:tab w:val="left" w:pos="6345"/>
              </w:tabs>
              <w:jc w:val="center"/>
              <w:rPr>
                <w:rFonts w:ascii="仿宋" w:hAnsi="仿宋" w:eastAsia="仿宋"/>
                <w:sz w:val="24"/>
                <w:szCs w:val="24"/>
              </w:rPr>
            </w:pPr>
          </w:p>
        </w:tc>
        <w:tc>
          <w:tcPr>
            <w:tcW w:w="1060" w:type="dxa"/>
            <w:vMerge w:val="continue"/>
            <w:vAlign w:val="center"/>
          </w:tcPr>
          <w:p>
            <w:pPr>
              <w:tabs>
                <w:tab w:val="left" w:pos="6345"/>
              </w:tabs>
              <w:jc w:val="center"/>
              <w:rPr>
                <w:rFonts w:ascii="仿宋" w:hAnsi="仿宋" w:eastAsia="仿宋"/>
                <w:sz w:val="24"/>
                <w:szCs w:val="24"/>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三等</w:t>
            </w:r>
          </w:p>
        </w:tc>
        <w:tc>
          <w:tcPr>
            <w:tcW w:w="1137" w:type="dxa"/>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21</w:t>
            </w:r>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16.8</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214" w:type="dxa"/>
            <w:vMerge w:val="restart"/>
            <w:vAlign w:val="center"/>
          </w:tcPr>
          <w:p>
            <w:pPr>
              <w:tabs>
                <w:tab w:val="left" w:pos="6345"/>
              </w:tabs>
              <w:jc w:val="center"/>
              <w:rPr>
                <w:rFonts w:ascii="仿宋" w:hAnsi="仿宋" w:eastAsia="仿宋"/>
                <w:sz w:val="24"/>
                <w:szCs w:val="24"/>
              </w:rPr>
            </w:pPr>
            <w:r>
              <w:rPr>
                <w:rFonts w:hint="eastAsia" w:ascii="仿宋" w:hAnsi="仿宋" w:eastAsia="仿宋"/>
                <w:sz w:val="24"/>
                <w:szCs w:val="24"/>
              </w:rPr>
              <w:t>20</w:t>
            </w:r>
            <w:r>
              <w:rPr>
                <w:rFonts w:hint="eastAsia" w:ascii="仿宋" w:hAnsi="仿宋" w:eastAsia="仿宋"/>
                <w:sz w:val="24"/>
                <w:szCs w:val="24"/>
                <w:lang w:val="en-US" w:eastAsia="zh-CN"/>
              </w:rPr>
              <w:t>21</w:t>
            </w:r>
            <w:r>
              <w:rPr>
                <w:rFonts w:hint="eastAsia" w:ascii="仿宋" w:hAnsi="仿宋" w:eastAsia="仿宋"/>
                <w:sz w:val="24"/>
                <w:szCs w:val="24"/>
              </w:rPr>
              <w:t>级博士</w:t>
            </w:r>
          </w:p>
        </w:tc>
        <w:tc>
          <w:tcPr>
            <w:tcW w:w="1060" w:type="dxa"/>
            <w:vMerge w:val="restart"/>
            <w:vAlign w:val="center"/>
          </w:tcPr>
          <w:p>
            <w:pPr>
              <w:tabs>
                <w:tab w:val="left" w:pos="6345"/>
              </w:tabs>
              <w:jc w:val="center"/>
              <w:rPr>
                <w:rFonts w:hint="eastAsia" w:ascii="仿宋" w:hAnsi="仿宋" w:eastAsia="仿宋"/>
                <w:sz w:val="24"/>
                <w:szCs w:val="24"/>
                <w:lang w:eastAsia="zh-CN"/>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一等</w:t>
            </w:r>
          </w:p>
        </w:tc>
        <w:tc>
          <w:tcPr>
            <w:tcW w:w="1137" w:type="dxa"/>
            <w:vAlign w:val="center"/>
          </w:tcPr>
          <w:p>
            <w:pPr>
              <w:tabs>
                <w:tab w:val="left" w:pos="6345"/>
              </w:tabs>
              <w:jc w:val="center"/>
              <w:rPr>
                <w:rFonts w:hint="eastAsia" w:ascii="仿宋" w:hAnsi="仿宋" w:eastAsia="仿宋"/>
                <w:sz w:val="24"/>
                <w:szCs w:val="24"/>
                <w:lang w:val="en-US" w:eastAsia="zh-CN"/>
              </w:rPr>
            </w:pPr>
            <w:r>
              <w:rPr>
                <w:rFonts w:hint="eastAsia" w:ascii="仿宋" w:hAnsi="仿宋" w:eastAsia="仿宋"/>
                <w:sz w:val="24"/>
                <w:szCs w:val="24"/>
                <w:lang w:val="en-US" w:eastAsia="zh-CN"/>
              </w:rPr>
              <w:t>2</w:t>
            </w:r>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3.6</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214" w:type="dxa"/>
            <w:vMerge w:val="continue"/>
            <w:vAlign w:val="center"/>
          </w:tcPr>
          <w:p>
            <w:pPr>
              <w:tabs>
                <w:tab w:val="left" w:pos="6345"/>
              </w:tabs>
              <w:jc w:val="center"/>
              <w:rPr>
                <w:rFonts w:ascii="仿宋" w:hAnsi="仿宋" w:eastAsia="仿宋"/>
                <w:sz w:val="24"/>
                <w:szCs w:val="24"/>
              </w:rPr>
            </w:pPr>
          </w:p>
        </w:tc>
        <w:tc>
          <w:tcPr>
            <w:tcW w:w="1060" w:type="dxa"/>
            <w:vMerge w:val="continue"/>
            <w:vAlign w:val="center"/>
          </w:tcPr>
          <w:p>
            <w:pPr>
              <w:tabs>
                <w:tab w:val="left" w:pos="6345"/>
              </w:tabs>
              <w:jc w:val="center"/>
              <w:rPr>
                <w:rFonts w:ascii="仿宋" w:hAnsi="仿宋" w:eastAsia="仿宋"/>
                <w:sz w:val="24"/>
                <w:szCs w:val="24"/>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二等</w:t>
            </w:r>
          </w:p>
        </w:tc>
        <w:tc>
          <w:tcPr>
            <w:tcW w:w="1137" w:type="dxa"/>
            <w:vAlign w:val="center"/>
          </w:tcPr>
          <w:p>
            <w:pPr>
              <w:tabs>
                <w:tab w:val="left" w:pos="6345"/>
              </w:tabs>
              <w:jc w:val="center"/>
              <w:rPr>
                <w:rFonts w:hint="eastAsia" w:ascii="仿宋" w:hAnsi="仿宋" w:eastAsia="仿宋"/>
                <w:sz w:val="24"/>
                <w:szCs w:val="24"/>
                <w:lang w:val="en-US" w:eastAsia="zh-CN"/>
              </w:rPr>
            </w:pPr>
            <w:r>
              <w:rPr>
                <w:rFonts w:hint="eastAsia" w:ascii="仿宋" w:hAnsi="仿宋" w:eastAsia="仿宋"/>
                <w:sz w:val="24"/>
                <w:szCs w:val="24"/>
                <w:lang w:val="en-US" w:eastAsia="zh-CN"/>
              </w:rPr>
              <w:t>3</w:t>
            </w:r>
          </w:p>
        </w:tc>
        <w:tc>
          <w:tcPr>
            <w:tcW w:w="971" w:type="dxa"/>
            <w:vAlign w:val="center"/>
          </w:tcPr>
          <w:p>
            <w:pPr>
              <w:keepNext w:val="0"/>
              <w:keepLines w:val="0"/>
              <w:widowControl/>
              <w:suppressLineNumbers w:val="0"/>
              <w:jc w:val="center"/>
              <w:textAlignment w:val="center"/>
              <w:rPr>
                <w:rFonts w:ascii="仿宋" w:hAnsi="仿宋" w:eastAsia="仿宋"/>
                <w:sz w:val="24"/>
                <w:szCs w:val="24"/>
              </w:rPr>
            </w:pPr>
            <w:r>
              <w:rPr>
                <w:rFonts w:hint="eastAsia" w:ascii="仿宋" w:hAnsi="仿宋" w:eastAsia="仿宋" w:cs="仿宋"/>
                <w:i w:val="0"/>
                <w:iCs w:val="0"/>
                <w:color w:val="000000"/>
                <w:kern w:val="0"/>
                <w:sz w:val="24"/>
                <w:szCs w:val="24"/>
                <w:u w:val="none"/>
                <w:lang w:val="en-US" w:eastAsia="zh-CN" w:bidi="ar"/>
              </w:rPr>
              <w:t>4.2</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214" w:type="dxa"/>
            <w:vMerge w:val="continue"/>
            <w:vAlign w:val="center"/>
          </w:tcPr>
          <w:p>
            <w:pPr>
              <w:tabs>
                <w:tab w:val="left" w:pos="6345"/>
              </w:tabs>
              <w:jc w:val="center"/>
              <w:rPr>
                <w:rFonts w:ascii="仿宋" w:hAnsi="仿宋" w:eastAsia="仿宋"/>
                <w:sz w:val="24"/>
                <w:szCs w:val="24"/>
              </w:rPr>
            </w:pPr>
          </w:p>
        </w:tc>
        <w:tc>
          <w:tcPr>
            <w:tcW w:w="1060" w:type="dxa"/>
            <w:vMerge w:val="continue"/>
            <w:vAlign w:val="center"/>
          </w:tcPr>
          <w:p>
            <w:pPr>
              <w:tabs>
                <w:tab w:val="left" w:pos="6345"/>
              </w:tabs>
              <w:jc w:val="center"/>
              <w:rPr>
                <w:rFonts w:ascii="仿宋" w:hAnsi="仿宋" w:eastAsia="仿宋"/>
                <w:sz w:val="24"/>
                <w:szCs w:val="24"/>
              </w:rPr>
            </w:pPr>
          </w:p>
        </w:tc>
        <w:tc>
          <w:tcPr>
            <w:tcW w:w="945" w:type="dxa"/>
            <w:vAlign w:val="center"/>
          </w:tcPr>
          <w:p>
            <w:pPr>
              <w:tabs>
                <w:tab w:val="left" w:pos="6345"/>
              </w:tabs>
              <w:jc w:val="center"/>
              <w:rPr>
                <w:rFonts w:hint="eastAsia" w:ascii="仿宋" w:hAnsi="仿宋" w:eastAsia="仿宋"/>
                <w:sz w:val="24"/>
                <w:szCs w:val="24"/>
              </w:rPr>
            </w:pPr>
            <w:r>
              <w:rPr>
                <w:rFonts w:hint="eastAsia" w:ascii="仿宋" w:hAnsi="仿宋" w:eastAsia="仿宋"/>
                <w:sz w:val="24"/>
                <w:szCs w:val="24"/>
              </w:rPr>
              <w:t>三等</w:t>
            </w:r>
          </w:p>
        </w:tc>
        <w:tc>
          <w:tcPr>
            <w:tcW w:w="1137" w:type="dxa"/>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5</w:t>
            </w:r>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5</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214" w:type="dxa"/>
            <w:vMerge w:val="restart"/>
            <w:vAlign w:val="center"/>
          </w:tcPr>
          <w:p>
            <w:pPr>
              <w:tabs>
                <w:tab w:val="left" w:pos="6345"/>
              </w:tabs>
              <w:jc w:val="center"/>
              <w:rPr>
                <w:rFonts w:ascii="仿宋" w:hAnsi="仿宋" w:eastAsia="仿宋"/>
                <w:sz w:val="24"/>
                <w:szCs w:val="24"/>
              </w:rPr>
            </w:pPr>
            <w:r>
              <w:rPr>
                <w:rFonts w:hint="eastAsia" w:ascii="仿宋" w:hAnsi="仿宋" w:eastAsia="仿宋"/>
                <w:sz w:val="24"/>
                <w:szCs w:val="24"/>
              </w:rPr>
              <w:t>202</w:t>
            </w:r>
            <w:r>
              <w:rPr>
                <w:rFonts w:hint="eastAsia" w:ascii="仿宋" w:hAnsi="仿宋" w:eastAsia="仿宋"/>
                <w:sz w:val="24"/>
                <w:szCs w:val="24"/>
                <w:lang w:val="en-US" w:eastAsia="zh-CN"/>
              </w:rPr>
              <w:t>2</w:t>
            </w:r>
            <w:r>
              <w:rPr>
                <w:rFonts w:hint="eastAsia" w:ascii="仿宋" w:hAnsi="仿宋" w:eastAsia="仿宋"/>
                <w:sz w:val="24"/>
                <w:szCs w:val="24"/>
              </w:rPr>
              <w:t>级博士</w:t>
            </w:r>
          </w:p>
        </w:tc>
        <w:tc>
          <w:tcPr>
            <w:tcW w:w="1060" w:type="dxa"/>
            <w:vMerge w:val="restart"/>
            <w:vAlign w:val="center"/>
          </w:tcPr>
          <w:p>
            <w:pPr>
              <w:tabs>
                <w:tab w:val="left" w:pos="6345"/>
              </w:tabs>
              <w:jc w:val="center"/>
              <w:rPr>
                <w:rFonts w:hint="default" w:ascii="仿宋" w:hAnsi="仿宋" w:eastAsia="仿宋"/>
                <w:sz w:val="24"/>
                <w:szCs w:val="24"/>
                <w:lang w:val="en-US" w:eastAsia="zh-CN"/>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一等</w:t>
            </w:r>
          </w:p>
        </w:tc>
        <w:tc>
          <w:tcPr>
            <w:tcW w:w="1137" w:type="dxa"/>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2</w:t>
            </w:r>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3.6</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214" w:type="dxa"/>
            <w:vMerge w:val="continue"/>
            <w:vAlign w:val="center"/>
          </w:tcPr>
          <w:p>
            <w:pPr>
              <w:tabs>
                <w:tab w:val="left" w:pos="6345"/>
              </w:tabs>
              <w:jc w:val="center"/>
              <w:rPr>
                <w:rFonts w:ascii="仿宋" w:hAnsi="仿宋" w:eastAsia="仿宋"/>
                <w:sz w:val="24"/>
                <w:szCs w:val="24"/>
              </w:rPr>
            </w:pPr>
          </w:p>
        </w:tc>
        <w:tc>
          <w:tcPr>
            <w:tcW w:w="1060" w:type="dxa"/>
            <w:vMerge w:val="continue"/>
            <w:vAlign w:val="center"/>
          </w:tcPr>
          <w:p>
            <w:pPr>
              <w:tabs>
                <w:tab w:val="left" w:pos="6345"/>
              </w:tabs>
              <w:jc w:val="center"/>
              <w:rPr>
                <w:rFonts w:ascii="仿宋" w:hAnsi="仿宋" w:eastAsia="仿宋"/>
                <w:sz w:val="24"/>
                <w:szCs w:val="24"/>
              </w:rPr>
            </w:pPr>
          </w:p>
        </w:tc>
        <w:tc>
          <w:tcPr>
            <w:tcW w:w="945" w:type="dxa"/>
            <w:vAlign w:val="center"/>
          </w:tcPr>
          <w:p>
            <w:pPr>
              <w:tabs>
                <w:tab w:val="left" w:pos="6345"/>
              </w:tabs>
              <w:jc w:val="center"/>
              <w:rPr>
                <w:rFonts w:ascii="仿宋" w:hAnsi="仿宋" w:eastAsia="仿宋"/>
                <w:sz w:val="24"/>
                <w:szCs w:val="24"/>
              </w:rPr>
            </w:pPr>
            <w:r>
              <w:rPr>
                <w:rFonts w:hint="eastAsia" w:ascii="仿宋" w:hAnsi="仿宋" w:eastAsia="仿宋"/>
                <w:sz w:val="24"/>
                <w:szCs w:val="24"/>
              </w:rPr>
              <w:t>二等</w:t>
            </w:r>
          </w:p>
        </w:tc>
        <w:tc>
          <w:tcPr>
            <w:tcW w:w="1137" w:type="dxa"/>
            <w:vAlign w:val="center"/>
          </w:tcPr>
          <w:p>
            <w:pPr>
              <w:tabs>
                <w:tab w:val="left" w:pos="6345"/>
              </w:tabs>
              <w:jc w:val="center"/>
              <w:rPr>
                <w:rFonts w:hint="eastAsia" w:ascii="仿宋" w:hAnsi="仿宋" w:eastAsia="仿宋"/>
                <w:sz w:val="24"/>
                <w:szCs w:val="24"/>
                <w:lang w:val="en-US" w:eastAsia="zh-CN"/>
              </w:rPr>
            </w:pPr>
            <w:r>
              <w:rPr>
                <w:rFonts w:hint="eastAsia" w:ascii="仿宋" w:hAnsi="仿宋" w:eastAsia="仿宋"/>
                <w:sz w:val="24"/>
                <w:szCs w:val="24"/>
                <w:lang w:val="en-US" w:eastAsia="zh-CN"/>
              </w:rPr>
              <w:t>3</w:t>
            </w:r>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4.2</w:t>
            </w:r>
          </w:p>
        </w:tc>
        <w:tc>
          <w:tcPr>
            <w:tcW w:w="1110" w:type="dxa"/>
            <w:vMerge w:val="continue"/>
            <w:vAlign w:val="center"/>
          </w:tcPr>
          <w:p>
            <w:pPr>
              <w:tabs>
                <w:tab w:val="left" w:pos="6345"/>
              </w:tabs>
              <w:jc w:val="center"/>
              <w:rPr>
                <w:rFonts w:ascii="仿宋" w:hAnsi="仿宋" w:eastAsia="仿宋"/>
                <w:sz w:val="24"/>
                <w:szCs w:val="24"/>
              </w:rPr>
            </w:pPr>
          </w:p>
        </w:tc>
        <w:tc>
          <w:tcPr>
            <w:tcW w:w="1182" w:type="dxa"/>
            <w:vMerge w:val="continue"/>
          </w:tcPr>
          <w:p>
            <w:pPr>
              <w:tabs>
                <w:tab w:val="left" w:pos="6345"/>
              </w:tabs>
              <w:jc w:val="center"/>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214" w:type="dxa"/>
            <w:vMerge w:val="continue"/>
            <w:vAlign w:val="center"/>
          </w:tcPr>
          <w:p>
            <w:pPr>
              <w:tabs>
                <w:tab w:val="left" w:pos="6345"/>
              </w:tabs>
              <w:jc w:val="center"/>
              <w:rPr>
                <w:rFonts w:ascii="仿宋" w:hAnsi="仿宋" w:eastAsia="仿宋"/>
                <w:sz w:val="24"/>
                <w:szCs w:val="24"/>
              </w:rPr>
            </w:pPr>
          </w:p>
        </w:tc>
        <w:tc>
          <w:tcPr>
            <w:tcW w:w="1060" w:type="dxa"/>
            <w:vMerge w:val="continue"/>
            <w:vAlign w:val="center"/>
          </w:tcPr>
          <w:p>
            <w:pPr>
              <w:tabs>
                <w:tab w:val="left" w:pos="6345"/>
              </w:tabs>
              <w:jc w:val="center"/>
              <w:rPr>
                <w:rFonts w:ascii="仿宋" w:hAnsi="仿宋" w:eastAsia="仿宋"/>
                <w:sz w:val="24"/>
                <w:szCs w:val="24"/>
              </w:rPr>
            </w:pPr>
          </w:p>
        </w:tc>
        <w:tc>
          <w:tcPr>
            <w:tcW w:w="945" w:type="dxa"/>
            <w:vAlign w:val="center"/>
          </w:tcPr>
          <w:p>
            <w:pPr>
              <w:tabs>
                <w:tab w:val="left" w:pos="6345"/>
              </w:tabs>
              <w:jc w:val="center"/>
              <w:rPr>
                <w:rFonts w:hint="eastAsia" w:ascii="仿宋" w:hAnsi="仿宋" w:eastAsia="仿宋"/>
                <w:sz w:val="24"/>
                <w:szCs w:val="24"/>
              </w:rPr>
            </w:pPr>
            <w:r>
              <w:rPr>
                <w:rFonts w:hint="eastAsia" w:ascii="仿宋" w:hAnsi="仿宋" w:eastAsia="仿宋"/>
                <w:sz w:val="24"/>
                <w:szCs w:val="24"/>
              </w:rPr>
              <w:t>三等</w:t>
            </w:r>
          </w:p>
        </w:tc>
        <w:tc>
          <w:tcPr>
            <w:tcW w:w="1137" w:type="dxa"/>
            <w:vAlign w:val="center"/>
          </w:tcPr>
          <w:p>
            <w:pPr>
              <w:tabs>
                <w:tab w:val="left" w:pos="6345"/>
              </w:tabs>
              <w:jc w:val="center"/>
              <w:rPr>
                <w:rFonts w:hint="default" w:ascii="仿宋" w:hAnsi="仿宋" w:eastAsia="仿宋"/>
                <w:sz w:val="24"/>
                <w:szCs w:val="24"/>
                <w:lang w:val="en-US" w:eastAsia="zh-CN"/>
              </w:rPr>
            </w:pPr>
            <w:r>
              <w:rPr>
                <w:rFonts w:hint="eastAsia" w:ascii="仿宋" w:hAnsi="仿宋" w:eastAsia="仿宋"/>
                <w:sz w:val="24"/>
                <w:szCs w:val="24"/>
                <w:lang w:val="en-US" w:eastAsia="zh-CN"/>
              </w:rPr>
              <w:t>6</w:t>
            </w:r>
          </w:p>
        </w:tc>
        <w:tc>
          <w:tcPr>
            <w:tcW w:w="971" w:type="dxa"/>
            <w:vAlign w:val="center"/>
          </w:tcPr>
          <w:p>
            <w:pPr>
              <w:keepNext w:val="0"/>
              <w:keepLines w:val="0"/>
              <w:widowControl/>
              <w:suppressLineNumbers w:val="0"/>
              <w:jc w:val="center"/>
              <w:textAlignment w:val="center"/>
              <w:rPr>
                <w:rFonts w:hint="default" w:ascii="仿宋" w:hAnsi="仿宋" w:eastAsia="仿宋"/>
                <w:sz w:val="24"/>
                <w:szCs w:val="24"/>
                <w:lang w:val="en-US" w:eastAsia="zh-CN"/>
              </w:rPr>
            </w:pPr>
            <w:r>
              <w:rPr>
                <w:rFonts w:hint="eastAsia" w:ascii="仿宋" w:hAnsi="仿宋" w:eastAsia="仿宋" w:cs="仿宋"/>
                <w:i w:val="0"/>
                <w:iCs w:val="0"/>
                <w:color w:val="000000"/>
                <w:kern w:val="0"/>
                <w:sz w:val="24"/>
                <w:szCs w:val="24"/>
                <w:u w:val="none"/>
                <w:lang w:val="en-US" w:eastAsia="zh-CN" w:bidi="ar"/>
              </w:rPr>
              <w:t>6</w:t>
            </w:r>
          </w:p>
        </w:tc>
        <w:tc>
          <w:tcPr>
            <w:tcW w:w="1110" w:type="dxa"/>
            <w:vAlign w:val="center"/>
          </w:tcPr>
          <w:p>
            <w:pPr>
              <w:tabs>
                <w:tab w:val="left" w:pos="6345"/>
              </w:tabs>
              <w:jc w:val="center"/>
              <w:rPr>
                <w:rFonts w:ascii="仿宋" w:hAnsi="仿宋" w:eastAsia="仿宋"/>
                <w:sz w:val="24"/>
                <w:szCs w:val="24"/>
              </w:rPr>
            </w:pPr>
          </w:p>
        </w:tc>
        <w:tc>
          <w:tcPr>
            <w:tcW w:w="1182" w:type="dxa"/>
          </w:tcPr>
          <w:p>
            <w:pPr>
              <w:tabs>
                <w:tab w:val="left" w:pos="6345"/>
              </w:tabs>
              <w:jc w:val="center"/>
              <w:rPr>
                <w:rFonts w:ascii="仿宋" w:hAnsi="仿宋" w:eastAsia="仿宋"/>
                <w:sz w:val="24"/>
                <w:szCs w:val="24"/>
              </w:rPr>
            </w:pPr>
          </w:p>
        </w:tc>
      </w:tr>
    </w:tbl>
    <w:p>
      <w:pPr>
        <w:tabs>
          <w:tab w:val="left" w:pos="6345"/>
        </w:tabs>
        <w:jc w:val="left"/>
        <w:rPr>
          <w:rFonts w:ascii="仿宋" w:hAnsi="仿宋" w:eastAsia="仿宋"/>
          <w:b/>
          <w:sz w:val="24"/>
          <w:szCs w:val="24"/>
        </w:rPr>
      </w:pPr>
    </w:p>
    <w:p>
      <w:pPr>
        <w:tabs>
          <w:tab w:val="left" w:pos="6345"/>
        </w:tabs>
        <w:jc w:val="left"/>
        <w:rPr>
          <w:rFonts w:ascii="仿宋" w:hAnsi="仿宋" w:eastAsia="仿宋"/>
          <w:sz w:val="24"/>
          <w:szCs w:val="24"/>
        </w:rPr>
      </w:pPr>
      <w:r>
        <w:rPr>
          <w:rFonts w:hint="eastAsia" w:ascii="仿宋" w:hAnsi="仿宋" w:eastAsia="仿宋"/>
          <w:b/>
          <w:sz w:val="24"/>
          <w:szCs w:val="24"/>
        </w:rPr>
        <w:t>第十一条</w:t>
      </w:r>
      <w:r>
        <w:rPr>
          <w:rFonts w:hint="eastAsia" w:ascii="仿宋" w:hAnsi="仿宋" w:eastAsia="仿宋"/>
          <w:sz w:val="24"/>
          <w:szCs w:val="24"/>
        </w:rPr>
        <w:t xml:space="preserve">  评审办法及程序</w:t>
      </w:r>
    </w:p>
    <w:p>
      <w:pPr>
        <w:tabs>
          <w:tab w:val="left" w:pos="6345"/>
        </w:tabs>
        <w:jc w:val="left"/>
        <w:rPr>
          <w:rFonts w:ascii="仿宋" w:hAnsi="仿宋" w:eastAsia="仿宋"/>
          <w:sz w:val="24"/>
          <w:szCs w:val="24"/>
        </w:rPr>
      </w:pPr>
      <w:r>
        <w:rPr>
          <w:rFonts w:hint="eastAsia" w:ascii="仿宋" w:hAnsi="仿宋" w:eastAsia="仿宋"/>
          <w:sz w:val="24"/>
          <w:szCs w:val="24"/>
        </w:rPr>
        <w:t>（一）申请学业奖学金评定的研究生，在规定时间内在研究生综合评奖系统内填写申请，并提交相关作证材料。</w:t>
      </w:r>
    </w:p>
    <w:p>
      <w:pPr>
        <w:tabs>
          <w:tab w:val="left" w:pos="6345"/>
        </w:tabs>
        <w:jc w:val="left"/>
        <w:rPr>
          <w:rFonts w:ascii="仿宋" w:hAnsi="仿宋" w:eastAsia="仿宋"/>
          <w:sz w:val="24"/>
          <w:szCs w:val="24"/>
        </w:rPr>
      </w:pPr>
      <w:r>
        <w:rPr>
          <w:rFonts w:hint="eastAsia" w:ascii="仿宋" w:hAnsi="仿宋" w:eastAsia="仿宋"/>
          <w:sz w:val="24"/>
          <w:szCs w:val="24"/>
        </w:rPr>
        <w:t>（二）研究生辅导员对研究生在系统上提交的内容进行材料审核，并依据评审办法给出相应的分数。审核完毕后导出综合测评结果，依据综合测评结果进行学业奖学金等级初步认定。</w:t>
      </w:r>
    </w:p>
    <w:p>
      <w:pPr>
        <w:tabs>
          <w:tab w:val="left" w:pos="6345"/>
        </w:tabs>
        <w:jc w:val="left"/>
        <w:rPr>
          <w:rFonts w:ascii="仿宋" w:hAnsi="仿宋" w:eastAsia="仿宋"/>
          <w:sz w:val="24"/>
          <w:szCs w:val="24"/>
        </w:rPr>
      </w:pPr>
      <w:r>
        <w:rPr>
          <w:rFonts w:hint="eastAsia" w:ascii="仿宋" w:hAnsi="仿宋" w:eastAsia="仿宋"/>
          <w:sz w:val="24"/>
          <w:szCs w:val="24"/>
        </w:rPr>
        <w:t>（三）学院学业奖学金评审委员坚持公开、公平、公正的原则，对初步认定结果进行审核。名单审核后在学院网站进行</w:t>
      </w:r>
      <w:r>
        <w:rPr>
          <w:rFonts w:ascii="仿宋" w:hAnsi="仿宋" w:eastAsia="仿宋"/>
          <w:sz w:val="24"/>
          <w:szCs w:val="24"/>
        </w:rPr>
        <w:t>公示</w:t>
      </w:r>
      <w:r>
        <w:rPr>
          <w:rFonts w:hint="eastAsia" w:ascii="仿宋" w:hAnsi="仿宋" w:eastAsia="仿宋"/>
          <w:sz w:val="24"/>
          <w:szCs w:val="24"/>
        </w:rPr>
        <w:t>（不少于3个工作日），公示无异议后，将初评结果报送研究生部。</w:t>
      </w:r>
    </w:p>
    <w:p>
      <w:pPr>
        <w:tabs>
          <w:tab w:val="left" w:pos="6345"/>
        </w:tabs>
        <w:jc w:val="left"/>
        <w:rPr>
          <w:rFonts w:ascii="仿宋" w:hAnsi="仿宋" w:eastAsia="仿宋"/>
          <w:sz w:val="24"/>
          <w:szCs w:val="24"/>
        </w:rPr>
      </w:pPr>
      <w:r>
        <w:rPr>
          <w:rFonts w:hint="eastAsia" w:ascii="仿宋" w:hAnsi="仿宋" w:eastAsia="仿宋"/>
          <w:sz w:val="24"/>
          <w:szCs w:val="24"/>
        </w:rPr>
        <w:t>（四）在学院公示阶段，对研究生学业奖学金评定结果有异议的研究生可以向学院评审委员会提出申诉，评审委员会应及时予以答复。</w:t>
      </w:r>
    </w:p>
    <w:p>
      <w:pPr>
        <w:tabs>
          <w:tab w:val="left" w:pos="6345"/>
        </w:tabs>
        <w:jc w:val="left"/>
        <w:rPr>
          <w:rFonts w:ascii="仿宋" w:hAnsi="仿宋" w:eastAsia="仿宋"/>
          <w:sz w:val="24"/>
          <w:szCs w:val="24"/>
        </w:rPr>
      </w:pPr>
      <w:r>
        <w:rPr>
          <w:rFonts w:hint="eastAsia" w:ascii="仿宋" w:hAnsi="仿宋" w:eastAsia="仿宋"/>
          <w:b/>
          <w:sz w:val="24"/>
          <w:szCs w:val="24"/>
        </w:rPr>
        <w:t xml:space="preserve">第十二条 </w:t>
      </w:r>
      <w:r>
        <w:rPr>
          <w:rFonts w:hint="eastAsia" w:ascii="仿宋" w:hAnsi="仿宋" w:eastAsia="仿宋"/>
          <w:sz w:val="24"/>
          <w:szCs w:val="24"/>
        </w:rPr>
        <w:t xml:space="preserve"> 奖学金管理与监督</w:t>
      </w:r>
    </w:p>
    <w:p>
      <w:pPr>
        <w:tabs>
          <w:tab w:val="left" w:pos="6345"/>
        </w:tabs>
        <w:jc w:val="left"/>
        <w:rPr>
          <w:rFonts w:ascii="仿宋" w:hAnsi="仿宋" w:eastAsia="仿宋"/>
          <w:sz w:val="24"/>
          <w:szCs w:val="24"/>
        </w:rPr>
      </w:pPr>
      <w:r>
        <w:rPr>
          <w:rFonts w:hint="eastAsia" w:ascii="仿宋" w:hAnsi="仿宋" w:eastAsia="仿宋"/>
          <w:sz w:val="24"/>
          <w:szCs w:val="24"/>
        </w:rPr>
        <w:t>评审过程中若发现申请人有违反学术纪律或弄虚作假行为，取消该生在本年度所有荣誉参评资格，并根据情节轻重给予相应处分。</w:t>
      </w:r>
    </w:p>
    <w:p>
      <w:pPr>
        <w:tabs>
          <w:tab w:val="left" w:pos="6345"/>
        </w:tabs>
        <w:jc w:val="left"/>
        <w:rPr>
          <w:rFonts w:ascii="仿宋" w:hAnsi="仿宋" w:eastAsia="仿宋"/>
          <w:sz w:val="24"/>
          <w:szCs w:val="24"/>
        </w:rPr>
      </w:pPr>
      <w:r>
        <w:rPr>
          <w:rFonts w:hint="eastAsia" w:ascii="仿宋" w:hAnsi="仿宋" w:eastAsia="仿宋"/>
          <w:b/>
          <w:sz w:val="24"/>
          <w:szCs w:val="24"/>
        </w:rPr>
        <w:t xml:space="preserve">第十三条  </w:t>
      </w:r>
      <w:r>
        <w:rPr>
          <w:rFonts w:hint="eastAsia" w:ascii="仿宋" w:hAnsi="仿宋" w:eastAsia="仿宋"/>
          <w:sz w:val="24"/>
          <w:szCs w:val="24"/>
        </w:rPr>
        <w:t>本办法自发布之日起开始执行，由经济学院负责解释。</w:t>
      </w:r>
    </w:p>
    <w:p>
      <w:pPr>
        <w:tabs>
          <w:tab w:val="left" w:pos="6345"/>
        </w:tabs>
        <w:jc w:val="left"/>
        <w:rPr>
          <w:rFonts w:ascii="仿宋" w:hAnsi="仿宋" w:eastAsia="仿宋"/>
          <w:sz w:val="24"/>
          <w:szCs w:val="24"/>
        </w:rPr>
      </w:pPr>
      <w:r>
        <w:rPr>
          <w:rFonts w:hint="eastAsia" w:ascii="仿宋" w:hAnsi="仿宋" w:eastAsia="仿宋"/>
          <w:sz w:val="24"/>
          <w:szCs w:val="24"/>
        </w:rPr>
        <w:t xml:space="preserve">                                                    经济学院</w:t>
      </w:r>
    </w:p>
    <w:p>
      <w:pPr>
        <w:tabs>
          <w:tab w:val="left" w:pos="6345"/>
        </w:tabs>
        <w:jc w:val="left"/>
        <w:rPr>
          <w:rFonts w:ascii="仿宋" w:hAnsi="仿宋" w:eastAsia="仿宋"/>
          <w:sz w:val="24"/>
          <w:szCs w:val="24"/>
        </w:rPr>
      </w:pPr>
      <w:r>
        <w:rPr>
          <w:rFonts w:hint="eastAsia" w:ascii="仿宋" w:hAnsi="仿宋" w:eastAsia="仿宋"/>
          <w:sz w:val="24"/>
          <w:szCs w:val="24"/>
        </w:rPr>
        <w:t xml:space="preserve">                                                202</w:t>
      </w:r>
      <w:r>
        <w:rPr>
          <w:rFonts w:hint="eastAsia" w:ascii="仿宋" w:hAnsi="仿宋" w:eastAsia="仿宋"/>
          <w:sz w:val="24"/>
          <w:szCs w:val="24"/>
          <w:lang w:val="en-US" w:eastAsia="zh-CN"/>
        </w:rPr>
        <w:t>3</w:t>
      </w:r>
      <w:r>
        <w:rPr>
          <w:rFonts w:hint="eastAsia" w:ascii="仿宋" w:hAnsi="仿宋" w:eastAsia="仿宋"/>
          <w:sz w:val="24"/>
          <w:szCs w:val="24"/>
        </w:rPr>
        <w:t>年10月</w:t>
      </w:r>
      <w:r>
        <w:rPr>
          <w:rFonts w:hint="eastAsia" w:ascii="仿宋" w:hAnsi="仿宋" w:eastAsia="仿宋"/>
          <w:sz w:val="24"/>
          <w:szCs w:val="24"/>
          <w:lang w:val="en-US" w:eastAsia="zh-CN"/>
        </w:rPr>
        <w:t>31</w:t>
      </w:r>
      <w:r>
        <w:rPr>
          <w:rFonts w:hint="eastAsia" w:ascii="仿宋" w:hAnsi="仿宋" w:eastAsia="仿宋"/>
          <w:sz w:val="24"/>
          <w:szCs w:val="24"/>
        </w:rPr>
        <w:t>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lNGQ4MjliZmM2ZDcxNzdkYjJhMDJiZDA5OWZhYWIifQ=="/>
  </w:docVars>
  <w:rsids>
    <w:rsidRoot w:val="00000000"/>
    <w:rsid w:val="06427259"/>
    <w:rsid w:val="0B3E2137"/>
    <w:rsid w:val="177F1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1555</Words>
  <Characters>1660</Characters>
  <Lines>0</Lines>
  <Paragraphs>0</Paragraphs>
  <TotalTime>3</TotalTime>
  <ScaleCrop>false</ScaleCrop>
  <LinksUpToDate>false</LinksUpToDate>
  <CharactersWithSpaces>1844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2023-10-30T05:20:00Z</dcterms:created>
  <dc:creator>admin</dc:creator>
  <cp:lastModifiedBy>企业用户_326347897</cp:lastModifiedBy>
  <dcterms:modified xsi:type="dcterms:W3CDTF">2023-10-31T08:26:53Z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6BD170DFDAB048FB889FF51D581EEA41_12</vt:lpwstr>
  </property>
</Properties>
</file>